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CC4BE8">
        <w:rPr>
          <w:b/>
          <w:bCs/>
          <w:color w:val="FF0000"/>
          <w:sz w:val="24"/>
          <w:szCs w:val="24"/>
        </w:rPr>
        <w:t>2</w:t>
      </w:r>
      <w:r w:rsidR="00301064">
        <w:rPr>
          <w:b/>
          <w:bCs/>
          <w:color w:val="FF0000"/>
          <w:sz w:val="24"/>
          <w:szCs w:val="24"/>
        </w:rPr>
        <w:t>9</w:t>
      </w:r>
      <w:r w:rsidR="003D0AD8" w:rsidRPr="00B30B22">
        <w:rPr>
          <w:b/>
          <w:bCs/>
          <w:color w:val="FF0000"/>
          <w:sz w:val="24"/>
          <w:szCs w:val="24"/>
        </w:rPr>
        <w:t>/0</w:t>
      </w:r>
      <w:r w:rsidR="006C6AB7" w:rsidRPr="00B30B22">
        <w:rPr>
          <w:b/>
          <w:bCs/>
          <w:color w:val="FF0000"/>
          <w:sz w:val="24"/>
          <w:szCs w:val="24"/>
        </w:rPr>
        <w:t>7</w:t>
      </w:r>
      <w:r w:rsidR="00E173C9" w:rsidRPr="00B30B22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E173C9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C6AB7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301064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301064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E225EE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E225EE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</w:p>
          <w:p w:rsidR="005252E4" w:rsidRPr="00B30B22" w:rsidRDefault="008A6993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30B22">
              <w:rPr>
                <w:b/>
                <w:bCs/>
                <w:color w:val="FF0000"/>
                <w:sz w:val="28"/>
                <w:szCs w:val="28"/>
              </w:rPr>
              <w:t>Asfaltimi i rrugë</w:t>
            </w:r>
            <w:r w:rsidR="00301064">
              <w:rPr>
                <w:b/>
                <w:bCs/>
                <w:color w:val="FF0000"/>
                <w:sz w:val="28"/>
                <w:szCs w:val="28"/>
              </w:rPr>
              <w:t>ve në lagjen “Dardania”,”</w:t>
            </w:r>
            <w:r w:rsidR="00EF2986">
              <w:rPr>
                <w:b/>
                <w:bCs/>
                <w:color w:val="FF0000"/>
                <w:sz w:val="28"/>
                <w:szCs w:val="28"/>
              </w:rPr>
              <w:t>M</w:t>
            </w:r>
            <w:r w:rsidR="00301064">
              <w:rPr>
                <w:b/>
                <w:bCs/>
                <w:color w:val="FF0000"/>
                <w:sz w:val="28"/>
                <w:szCs w:val="28"/>
              </w:rPr>
              <w:t>otrat Qiriazi” dhe disa rrugëve në qytetin e Gji</w:t>
            </w:r>
            <w:r w:rsidR="00EF2986">
              <w:rPr>
                <w:b/>
                <w:bCs/>
                <w:color w:val="FF0000"/>
                <w:sz w:val="28"/>
                <w:szCs w:val="28"/>
              </w:rPr>
              <w:t>l</w:t>
            </w:r>
            <w:r w:rsidR="00301064">
              <w:rPr>
                <w:b/>
                <w:bCs/>
                <w:color w:val="FF0000"/>
                <w:sz w:val="28"/>
                <w:szCs w:val="28"/>
              </w:rPr>
              <w:t>anit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E225EE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E225EE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E225EE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5252E4" w:rsidRPr="00A6036A" w:rsidRDefault="00E173C9" w:rsidP="00182ACB">
            <w:pPr>
              <w:rPr>
                <w:b/>
                <w:color w:val="FF0000"/>
                <w:sz w:val="24"/>
                <w:szCs w:val="24"/>
              </w:rPr>
            </w:pPr>
            <w:r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E225EE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E225EE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E225EE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E225EE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80024A" w:rsidRDefault="00301064" w:rsidP="001C353D">
            <w:pPr>
              <w:pStyle w:val="ListParagraph"/>
              <w:rPr>
                <w:color w:val="FF0000"/>
                <w:sz w:val="24"/>
                <w:szCs w:val="24"/>
              </w:rPr>
            </w:pPr>
            <w:r w:rsidRPr="00B30B22">
              <w:rPr>
                <w:b/>
                <w:bCs/>
                <w:color w:val="FF0000"/>
                <w:sz w:val="28"/>
                <w:szCs w:val="28"/>
              </w:rPr>
              <w:t>Asfaltimi i rrugë</w:t>
            </w:r>
            <w:r>
              <w:rPr>
                <w:b/>
                <w:bCs/>
                <w:color w:val="FF0000"/>
                <w:sz w:val="28"/>
                <w:szCs w:val="28"/>
              </w:rPr>
              <w:t>ve në lagjen “Dardania”,”</w:t>
            </w:r>
            <w:r w:rsidR="00EF2986">
              <w:rPr>
                <w:b/>
                <w:bCs/>
                <w:color w:val="FF0000"/>
                <w:sz w:val="28"/>
                <w:szCs w:val="28"/>
              </w:rPr>
              <w:t>M</w:t>
            </w:r>
            <w:r>
              <w:rPr>
                <w:b/>
                <w:bCs/>
                <w:color w:val="FF0000"/>
                <w:sz w:val="28"/>
                <w:szCs w:val="28"/>
              </w:rPr>
              <w:t>otrat Qiriazi” dhe disa rrugëve në qytetin e Gji</w:t>
            </w:r>
            <w:r w:rsidR="00EF2986">
              <w:rPr>
                <w:b/>
                <w:bCs/>
                <w:color w:val="FF0000"/>
                <w:sz w:val="28"/>
                <w:szCs w:val="28"/>
              </w:rPr>
              <w:t>l</w:t>
            </w:r>
            <w:r>
              <w:rPr>
                <w:b/>
                <w:bCs/>
                <w:color w:val="FF0000"/>
                <w:sz w:val="28"/>
                <w:szCs w:val="28"/>
              </w:rPr>
              <w:t>anit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E225EE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140"/>
              <w:gridCol w:w="1620"/>
              <w:gridCol w:w="1350"/>
              <w:gridCol w:w="1493"/>
            </w:tblGrid>
            <w:tr w:rsidR="005252E4" w:rsidRPr="00FA0EC5" w:rsidTr="0080024A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80024A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301064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301064">
                    <w:rPr>
                      <w:bCs/>
                      <w:color w:val="FF0000"/>
                      <w:sz w:val="28"/>
                      <w:szCs w:val="28"/>
                    </w:rPr>
                    <w:t>Asfaltimi i rrugëve në lagjen “Dardania”,”</w:t>
                  </w:r>
                  <w:r w:rsidR="00EF2986">
                    <w:rPr>
                      <w:bCs/>
                      <w:color w:val="FF0000"/>
                      <w:sz w:val="28"/>
                      <w:szCs w:val="28"/>
                    </w:rPr>
                    <w:t>M</w:t>
                  </w:r>
                  <w:r w:rsidRPr="00301064">
                    <w:rPr>
                      <w:bCs/>
                      <w:color w:val="FF0000"/>
                      <w:sz w:val="28"/>
                      <w:szCs w:val="28"/>
                    </w:rPr>
                    <w:t>otrat Qiriazi” dhe disa rrugëve në qytetin e Gji</w:t>
                  </w:r>
                  <w:r w:rsidR="00EF2986">
                    <w:rPr>
                      <w:bCs/>
                      <w:color w:val="FF0000"/>
                      <w:sz w:val="28"/>
                      <w:szCs w:val="28"/>
                    </w:rPr>
                    <w:t>l</w:t>
                  </w:r>
                  <w:r w:rsidRPr="00301064">
                    <w:rPr>
                      <w:bCs/>
                      <w:color w:val="FF0000"/>
                      <w:sz w:val="28"/>
                      <w:szCs w:val="28"/>
                    </w:rPr>
                    <w:t>anit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80024A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80024A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80024A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Sezonale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E225EE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E225EE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E225EE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E225EE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E225EE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E225EE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</w:p>
          <w:p w:rsidR="005252E4" w:rsidRPr="005F5EF1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alin.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1003FB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C73E3" w:rsidRDefault="001C353D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(3) të shoqëruara me kontrata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173C9" w:rsidRPr="00450968" w:rsidRDefault="00E173C9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Menaxherin e projektit të jetë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(5 vite ose master) me 5 vite përvojë pune</w:t>
            </w:r>
            <w:r w:rsidR="00450968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EF6DB1" w:rsidRPr="00123DDA" w:rsidRDefault="00EF6DB1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(bachelor) 3 vite përvojë pune</w:t>
            </w:r>
          </w:p>
          <w:p w:rsidR="00123DDA" w:rsidRPr="00182ACB" w:rsidRDefault="00123DDA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Afatin dhe planifikimin e kryerjes së punëve,</w:t>
            </w:r>
          </w:p>
          <w:p w:rsidR="00387C16" w:rsidRPr="00F67B7B" w:rsidRDefault="00FC3854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Buldozer   </w:t>
                  </w:r>
                  <w:r w:rsidR="00CD16A2"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  12  t, vibrues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FC70B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Finisher për punë të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FC70B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me rrota të kombinuara (gome dhe çeliku) 7-8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A45F4" w:rsidRPr="00CD16A2" w:rsidRDefault="002A45F4" w:rsidP="002366EA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 me rrota të çeliku me vibrim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A45F4" w:rsidRPr="00CD16A2" w:rsidRDefault="002A45F4" w:rsidP="002366EA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 për bitumen dhe emulzion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A45F4" w:rsidRPr="00CD16A2" w:rsidRDefault="002A45F4" w:rsidP="002366EA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 për transportin e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A45D1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A45F4" w:rsidRPr="00CD16A2" w:rsidRDefault="002A45F4" w:rsidP="00A45D1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Kamion kapacitet </w:t>
                  </w:r>
                  <w:r w:rsidR="00A45D14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="00A45D14"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 w:rsidR="00A45D14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A45D1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 ( tanker ) e ujit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2D67CB" w:rsidRDefault="004B0F54" w:rsidP="00341D2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 w:rsidR="00123DDA">
              <w:rPr>
                <w:rFonts w:ascii="Arial" w:hAnsi="Arial" w:cs="Arial"/>
                <w:sz w:val="22"/>
                <w:szCs w:val="22"/>
              </w:rPr>
              <w:t xml:space="preserve"> e punëve të kryera </w:t>
            </w:r>
            <w:r>
              <w:rPr>
                <w:rFonts w:ascii="Arial" w:hAnsi="Arial" w:cs="Arial"/>
                <w:sz w:val="22"/>
                <w:szCs w:val="22"/>
              </w:rPr>
              <w:t xml:space="preserve">bashkë me kontratat,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vlerën;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datën;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natyrën dhe vendin e projekteve të punëve </w:t>
            </w: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E173C9" w:rsidRPr="00750E21" w:rsidRDefault="00E173C9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 bashkangjitur: vendimin për caktimin si menaxher të projektit,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CV-ja, kontrata dhe kopjen e diplomës -</w:t>
            </w:r>
            <w:r w:rsidRPr="00B722C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të noterizuar</w:t>
            </w:r>
            <w:r w:rsidRPr="00B722C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750E21" w:rsidRPr="00EF2986" w:rsidRDefault="00750E21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E173C9" w:rsidP="00341D23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(D.U.D, dëshmia e blerjes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, librezat e rexhistrimit të   mjetit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Pr="00E10F79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E225EE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301064" w:rsidRDefault="0030106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E225EE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E225EE">
              <w:rPr>
                <w:b/>
                <w:sz w:val="24"/>
                <w:szCs w:val="24"/>
              </w:rPr>
            </w:r>
            <w:r w:rsidR="00E225EE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E225EE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E225EE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E225EE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3C2103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301064">
              <w:rPr>
                <w:b/>
                <w:sz w:val="28"/>
                <w:szCs w:val="28"/>
              </w:rPr>
              <w:t>15</w:t>
            </w:r>
            <w:r w:rsidR="001C353D">
              <w:rPr>
                <w:b/>
                <w:sz w:val="28"/>
                <w:szCs w:val="28"/>
              </w:rPr>
              <w:t>/08</w:t>
            </w:r>
            <w:r w:rsidR="00E173C9">
              <w:rPr>
                <w:b/>
                <w:sz w:val="28"/>
                <w:szCs w:val="28"/>
              </w:rPr>
              <w:t>/2013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301064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C353D">
              <w:rPr>
                <w:b/>
                <w:i/>
                <w:sz w:val="28"/>
                <w:szCs w:val="28"/>
              </w:rPr>
              <w:t>1</w:t>
            </w:r>
            <w:r w:rsidR="00301064">
              <w:rPr>
                <w:b/>
                <w:i/>
                <w:sz w:val="28"/>
                <w:szCs w:val="28"/>
              </w:rPr>
              <w:t>9</w:t>
            </w:r>
            <w:r w:rsidR="003C2103">
              <w:rPr>
                <w:b/>
                <w:i/>
                <w:sz w:val="28"/>
                <w:szCs w:val="28"/>
              </w:rPr>
              <w:t>/08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E225EE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E225EE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5F5EF1" w:rsidRDefault="005252E4" w:rsidP="00182ACB">
            <w:pPr>
              <w:rPr>
                <w:b/>
                <w:sz w:val="28"/>
                <w:szCs w:val="28"/>
              </w:rPr>
            </w:pPr>
            <w:r w:rsidRPr="005F5EF1">
              <w:rPr>
                <w:b/>
                <w:i/>
                <w:sz w:val="28"/>
                <w:szCs w:val="28"/>
              </w:rPr>
              <w:t>Nëse po</w:t>
            </w:r>
            <w:r w:rsidRPr="005F5EF1">
              <w:rPr>
                <w:sz w:val="28"/>
                <w:szCs w:val="28"/>
              </w:rPr>
              <w:t xml:space="preserve">, vlera e sigurisë së </w:t>
            </w:r>
            <w:r w:rsidRPr="005F5EF1">
              <w:rPr>
                <w:b/>
                <w:sz w:val="28"/>
                <w:szCs w:val="28"/>
              </w:rPr>
              <w:t xml:space="preserve">tenderit </w:t>
            </w:r>
            <w:r w:rsidR="00301064">
              <w:rPr>
                <w:b/>
                <w:sz w:val="28"/>
                <w:szCs w:val="28"/>
              </w:rPr>
              <w:t>2</w:t>
            </w:r>
            <w:r w:rsidRPr="005F5EF1">
              <w:rPr>
                <w:b/>
                <w:sz w:val="28"/>
                <w:szCs w:val="28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301064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1C353D">
              <w:rPr>
                <w:b/>
                <w:sz w:val="22"/>
                <w:szCs w:val="22"/>
              </w:rPr>
              <w:t>1</w:t>
            </w:r>
            <w:r w:rsidR="00301064">
              <w:rPr>
                <w:b/>
                <w:sz w:val="22"/>
                <w:szCs w:val="22"/>
              </w:rPr>
              <w:t>9</w:t>
            </w:r>
            <w:r w:rsidR="00CC4BE8">
              <w:rPr>
                <w:b/>
                <w:sz w:val="22"/>
                <w:szCs w:val="22"/>
              </w:rPr>
              <w:t>/11</w:t>
            </w:r>
            <w:r w:rsidR="00E173C9" w:rsidRPr="003C1C2C">
              <w:rPr>
                <w:b/>
                <w:sz w:val="22"/>
                <w:szCs w:val="22"/>
              </w:rPr>
              <w:t>/</w:t>
            </w:r>
            <w:r w:rsidRPr="003C1C2C">
              <w:rPr>
                <w:b/>
                <w:sz w:val="22"/>
                <w:szCs w:val="22"/>
              </w:rPr>
              <w:t>2013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301064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1C353D">
              <w:rPr>
                <w:b/>
                <w:i/>
                <w:sz w:val="28"/>
                <w:szCs w:val="28"/>
              </w:rPr>
              <w:t>1</w:t>
            </w:r>
            <w:r w:rsidR="00301064">
              <w:rPr>
                <w:b/>
                <w:i/>
                <w:sz w:val="28"/>
                <w:szCs w:val="28"/>
              </w:rPr>
              <w:t>9</w:t>
            </w:r>
            <w:r w:rsidR="003C2103">
              <w:rPr>
                <w:b/>
                <w:i/>
                <w:sz w:val="28"/>
                <w:szCs w:val="28"/>
              </w:rPr>
              <w:t>/08</w:t>
            </w:r>
            <w:r w:rsidR="00E173C9">
              <w:rPr>
                <w:b/>
                <w:i/>
                <w:sz w:val="28"/>
                <w:szCs w:val="28"/>
              </w:rPr>
              <w:t>/2013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781" w:rsidRDefault="00E34781" w:rsidP="001204CC">
      <w:r>
        <w:separator/>
      </w:r>
    </w:p>
  </w:endnote>
  <w:endnote w:type="continuationSeparator" w:id="1">
    <w:p w:rsidR="00E34781" w:rsidRDefault="00E34781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9E" w:rsidRDefault="00E225EE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65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986">
      <w:rPr>
        <w:rStyle w:val="PageNumber"/>
        <w:noProof/>
      </w:rPr>
      <w:t>3</w:t>
    </w:r>
    <w:r>
      <w:rPr>
        <w:rStyle w:val="PageNumber"/>
      </w:rPr>
      <w:fldChar w:fldCharType="end"/>
    </w:r>
  </w:p>
  <w:p w:rsidR="003E659E" w:rsidRPr="00AB38F6" w:rsidRDefault="003E659E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3E659E" w:rsidRPr="00AB38F6" w:rsidRDefault="003E659E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781" w:rsidRDefault="00E34781" w:rsidP="001204CC">
      <w:r>
        <w:separator/>
      </w:r>
    </w:p>
  </w:footnote>
  <w:footnote w:type="continuationSeparator" w:id="1">
    <w:p w:rsidR="00E34781" w:rsidRDefault="00E34781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9E" w:rsidRDefault="003E659E">
    <w:pPr>
      <w:tabs>
        <w:tab w:val="center" w:pos="4320"/>
        <w:tab w:val="right" w:pos="8640"/>
      </w:tabs>
      <w:rPr>
        <w:kern w:val="0"/>
      </w:rPr>
    </w:pPr>
  </w:p>
  <w:p w:rsidR="003E659E" w:rsidRDefault="003E659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407F9"/>
    <w:rsid w:val="000626FD"/>
    <w:rsid w:val="00082DB3"/>
    <w:rsid w:val="000B3B10"/>
    <w:rsid w:val="000C73E3"/>
    <w:rsid w:val="000E0C25"/>
    <w:rsid w:val="000F7B00"/>
    <w:rsid w:val="001003FB"/>
    <w:rsid w:val="0011481F"/>
    <w:rsid w:val="00117140"/>
    <w:rsid w:val="001204CC"/>
    <w:rsid w:val="00123202"/>
    <w:rsid w:val="00123DDA"/>
    <w:rsid w:val="00182ACB"/>
    <w:rsid w:val="001A3CF9"/>
    <w:rsid w:val="001A6A9B"/>
    <w:rsid w:val="001C353D"/>
    <w:rsid w:val="001E40DC"/>
    <w:rsid w:val="001E4356"/>
    <w:rsid w:val="001F428D"/>
    <w:rsid w:val="001F70E6"/>
    <w:rsid w:val="00210186"/>
    <w:rsid w:val="00210D62"/>
    <w:rsid w:val="002243B1"/>
    <w:rsid w:val="00237DBC"/>
    <w:rsid w:val="00245A7C"/>
    <w:rsid w:val="00264142"/>
    <w:rsid w:val="002721FD"/>
    <w:rsid w:val="00286D47"/>
    <w:rsid w:val="002A45F4"/>
    <w:rsid w:val="002C1B24"/>
    <w:rsid w:val="00301064"/>
    <w:rsid w:val="00305D56"/>
    <w:rsid w:val="00317D5A"/>
    <w:rsid w:val="00341D23"/>
    <w:rsid w:val="00343392"/>
    <w:rsid w:val="003449DE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4361B4"/>
    <w:rsid w:val="00450968"/>
    <w:rsid w:val="00466248"/>
    <w:rsid w:val="00476C19"/>
    <w:rsid w:val="004B0F54"/>
    <w:rsid w:val="004B1CF8"/>
    <w:rsid w:val="005150DE"/>
    <w:rsid w:val="00521589"/>
    <w:rsid w:val="00522171"/>
    <w:rsid w:val="005252E4"/>
    <w:rsid w:val="00544F1F"/>
    <w:rsid w:val="00545ECD"/>
    <w:rsid w:val="00561CB8"/>
    <w:rsid w:val="005C0338"/>
    <w:rsid w:val="005C5C1D"/>
    <w:rsid w:val="005E6C92"/>
    <w:rsid w:val="005F5EF1"/>
    <w:rsid w:val="0065437A"/>
    <w:rsid w:val="0066489D"/>
    <w:rsid w:val="006B18AC"/>
    <w:rsid w:val="006B3EC6"/>
    <w:rsid w:val="006C6AB7"/>
    <w:rsid w:val="006D09D3"/>
    <w:rsid w:val="00750E21"/>
    <w:rsid w:val="00775022"/>
    <w:rsid w:val="00777718"/>
    <w:rsid w:val="00780B42"/>
    <w:rsid w:val="00781D1D"/>
    <w:rsid w:val="00783C23"/>
    <w:rsid w:val="007A061F"/>
    <w:rsid w:val="007B162B"/>
    <w:rsid w:val="007C5AA1"/>
    <w:rsid w:val="007E1314"/>
    <w:rsid w:val="0080024A"/>
    <w:rsid w:val="00857D6F"/>
    <w:rsid w:val="00887C89"/>
    <w:rsid w:val="008A6993"/>
    <w:rsid w:val="008B27C9"/>
    <w:rsid w:val="008D1F8A"/>
    <w:rsid w:val="008D74E0"/>
    <w:rsid w:val="009032D9"/>
    <w:rsid w:val="00954CD6"/>
    <w:rsid w:val="00970A84"/>
    <w:rsid w:val="00992AA9"/>
    <w:rsid w:val="009A405A"/>
    <w:rsid w:val="009D237E"/>
    <w:rsid w:val="009F6A6D"/>
    <w:rsid w:val="00A45D14"/>
    <w:rsid w:val="00A6036A"/>
    <w:rsid w:val="00A614A0"/>
    <w:rsid w:val="00B30B22"/>
    <w:rsid w:val="00B56761"/>
    <w:rsid w:val="00B70A4F"/>
    <w:rsid w:val="00B82688"/>
    <w:rsid w:val="00B849F2"/>
    <w:rsid w:val="00BA3378"/>
    <w:rsid w:val="00BA339F"/>
    <w:rsid w:val="00BC28C7"/>
    <w:rsid w:val="00C011F4"/>
    <w:rsid w:val="00C04B1B"/>
    <w:rsid w:val="00C144B2"/>
    <w:rsid w:val="00C2001C"/>
    <w:rsid w:val="00C30260"/>
    <w:rsid w:val="00C57369"/>
    <w:rsid w:val="00C97098"/>
    <w:rsid w:val="00CA3DEE"/>
    <w:rsid w:val="00CB0AD4"/>
    <w:rsid w:val="00CC4BE8"/>
    <w:rsid w:val="00CC75CC"/>
    <w:rsid w:val="00CC7C6A"/>
    <w:rsid w:val="00CD16A2"/>
    <w:rsid w:val="00D21DB6"/>
    <w:rsid w:val="00D619A5"/>
    <w:rsid w:val="00D6376D"/>
    <w:rsid w:val="00DA08DF"/>
    <w:rsid w:val="00DA1708"/>
    <w:rsid w:val="00DA40A8"/>
    <w:rsid w:val="00DC427F"/>
    <w:rsid w:val="00DE38B8"/>
    <w:rsid w:val="00E10F79"/>
    <w:rsid w:val="00E173C9"/>
    <w:rsid w:val="00E225EE"/>
    <w:rsid w:val="00E24981"/>
    <w:rsid w:val="00E34781"/>
    <w:rsid w:val="00E50723"/>
    <w:rsid w:val="00E6492F"/>
    <w:rsid w:val="00E7592F"/>
    <w:rsid w:val="00EA281F"/>
    <w:rsid w:val="00EB31FB"/>
    <w:rsid w:val="00EF2986"/>
    <w:rsid w:val="00EF6DB1"/>
    <w:rsid w:val="00F313D1"/>
    <w:rsid w:val="00F34D39"/>
    <w:rsid w:val="00F505BB"/>
    <w:rsid w:val="00F507B6"/>
    <w:rsid w:val="00F67B7B"/>
    <w:rsid w:val="00FA55FB"/>
    <w:rsid w:val="00FB4912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7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49</cp:revision>
  <cp:lastPrinted>2013-07-22T12:31:00Z</cp:lastPrinted>
  <dcterms:created xsi:type="dcterms:W3CDTF">2013-02-04T09:37:00Z</dcterms:created>
  <dcterms:modified xsi:type="dcterms:W3CDTF">2013-07-29T12:39:00Z</dcterms:modified>
</cp:coreProperties>
</file>