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576E4B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983181" w:rsidP="0073393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</w:t>
      </w:r>
      <w:r w:rsidR="00DA742E"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0764D4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9218CB">
        <w:rPr>
          <w:b/>
          <w:bCs/>
          <w:color w:val="FF0000"/>
          <w:sz w:val="24"/>
          <w:szCs w:val="24"/>
        </w:rPr>
        <w:t>19</w:t>
      </w:r>
      <w:r w:rsidR="00F72EDF">
        <w:rPr>
          <w:b/>
          <w:bCs/>
          <w:color w:val="FF0000"/>
          <w:sz w:val="24"/>
          <w:szCs w:val="24"/>
        </w:rPr>
        <w:t>/08</w:t>
      </w:r>
      <w:r w:rsidR="00ED0CF2">
        <w:rPr>
          <w:b/>
          <w:bCs/>
          <w:color w:val="FF0000"/>
          <w:sz w:val="24"/>
          <w:szCs w:val="24"/>
        </w:rPr>
        <w:t>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F72E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9218CB"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9218C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576E4B">
              <w:rPr>
                <w:b/>
              </w:rPr>
            </w:r>
            <w:r w:rsidR="00576E4B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576E4B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576E4B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576E4B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EE06F1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576E4B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FF4E5A">
        <w:trPr>
          <w:trHeight w:val="88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F4E5A" w:rsidRDefault="00FF4E5A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9218CB" w:rsidP="00F72EDF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Furnizim me laktofriza për nevoja të Drejtoratit të Bujqësisë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218CB" w:rsidP="00ED0CF2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9218C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EE06F1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6E4B">
              <w:rPr>
                <w:b/>
                <w:bCs/>
                <w:sz w:val="24"/>
                <w:szCs w:val="24"/>
              </w:rPr>
            </w:r>
            <w:r w:rsidR="00576E4B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76E4B">
              <w:rPr>
                <w:sz w:val="24"/>
                <w:szCs w:val="24"/>
              </w:rPr>
            </w:r>
            <w:r w:rsidR="00576E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76E4B">
              <w:rPr>
                <w:sz w:val="24"/>
                <w:szCs w:val="24"/>
              </w:rPr>
            </w:r>
            <w:r w:rsidR="00576E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76E4B">
              <w:rPr>
                <w:sz w:val="24"/>
                <w:szCs w:val="24"/>
              </w:rPr>
            </w:r>
            <w:r w:rsidR="00576E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9218CB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2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76E4B">
              <w:rPr>
                <w:sz w:val="24"/>
                <w:szCs w:val="24"/>
              </w:rPr>
            </w:r>
            <w:r w:rsidR="00576E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76E4B">
              <w:rPr>
                <w:sz w:val="24"/>
                <w:szCs w:val="24"/>
              </w:rPr>
            </w:r>
            <w:r w:rsidR="00576E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76E4B">
              <w:rPr>
                <w:sz w:val="24"/>
                <w:szCs w:val="24"/>
              </w:rPr>
            </w:r>
            <w:r w:rsidR="00576E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76E4B">
              <w:rPr>
                <w:sz w:val="24"/>
                <w:szCs w:val="24"/>
              </w:rPr>
            </w:r>
            <w:r w:rsidR="00576E4B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F72EDF" w:rsidRDefault="00E13595" w:rsidP="00896AC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9218CB" w:rsidRDefault="009218CB" w:rsidP="00AC6C3F">
            <w:pPr>
              <w:rPr>
                <w:sz w:val="24"/>
                <w:szCs w:val="24"/>
              </w:rPr>
            </w:pPr>
            <w:r w:rsidRPr="009218CB">
              <w:rPr>
                <w:bCs/>
                <w:sz w:val="24"/>
                <w:szCs w:val="24"/>
              </w:rPr>
              <w:t>Furnizim me laktofriza për nevoja të Drejtoratit të Bujqësisë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EE06F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EE06F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76E4B">
              <w:rPr>
                <w:b/>
                <w:bCs/>
                <w:sz w:val="24"/>
                <w:szCs w:val="24"/>
              </w:rPr>
            </w:r>
            <w:r w:rsidR="00576E4B">
              <w:rPr>
                <w:b/>
                <w:bCs/>
                <w:sz w:val="24"/>
                <w:szCs w:val="24"/>
              </w:rPr>
              <w:fldChar w:fldCharType="separate"/>
            </w:r>
            <w:r w:rsidR="00EE06F1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9A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E06F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E06F1">
              <w:instrText xml:space="preserve"> FORMCHECKBOX </w:instrText>
            </w:r>
            <w:r w:rsidR="00576E4B">
              <w:fldChar w:fldCharType="separate"/>
            </w:r>
            <w:r w:rsidR="00EE06F1">
              <w:fldChar w:fldCharType="end"/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9218CB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laktofriza për nevoja të Drejtoratit të Bujqësisë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9218CB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EE06F1"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6" w:name="Check19"/>
      <w:r w:rsidR="00976BF5">
        <w:rPr>
          <w:sz w:val="24"/>
          <w:szCs w:val="24"/>
        </w:rPr>
        <w:instrText xml:space="preserve"> FORMCHECKBOX </w:instrText>
      </w:r>
      <w:r w:rsidR="00576E4B">
        <w:rPr>
          <w:sz w:val="24"/>
          <w:szCs w:val="24"/>
        </w:rPr>
      </w:r>
      <w:r w:rsidR="00576E4B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6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576E4B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576E4B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9218CB">
              <w:rPr>
                <w:color w:val="FF0000"/>
                <w:sz w:val="24"/>
                <w:szCs w:val="24"/>
              </w:rPr>
              <w:t>10</w:t>
            </w:r>
            <w:r w:rsidR="00FF4E5A">
              <w:rPr>
                <w:color w:val="FF0000"/>
                <w:sz w:val="24"/>
                <w:szCs w:val="24"/>
              </w:rPr>
              <w:t>/06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141C1C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218CB">
              <w:rPr>
                <w:b/>
                <w:bCs/>
                <w:color w:val="FF0000"/>
                <w:sz w:val="24"/>
                <w:szCs w:val="24"/>
              </w:rPr>
              <w:t>19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218CB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218CB">
              <w:rPr>
                <w:b/>
                <w:bCs/>
                <w:color w:val="FF0000"/>
                <w:sz w:val="24"/>
                <w:szCs w:val="24"/>
              </w:rPr>
              <w:t>kontratës  31</w:t>
            </w:r>
            <w:r w:rsidR="00F72EDF">
              <w:rPr>
                <w:b/>
                <w:bCs/>
                <w:color w:val="FF0000"/>
                <w:sz w:val="24"/>
                <w:szCs w:val="24"/>
              </w:rPr>
              <w:t>/08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</w:t>
            </w:r>
            <w:r w:rsidR="00EE1959" w:rsidRPr="00700BDB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218CB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41C1C" w:rsidRPr="004871DD" w:rsidRDefault="00141C1C" w:rsidP="009218CB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493D92">
              <w:rPr>
                <w:i/>
                <w:color w:val="FF0000"/>
                <w:sz w:val="24"/>
                <w:szCs w:val="24"/>
              </w:rPr>
              <w:t xml:space="preserve">                                        </w:t>
            </w:r>
            <w:r w:rsidR="009218CB">
              <w:rPr>
                <w:b/>
                <w:color w:val="FF0000"/>
                <w:sz w:val="24"/>
                <w:szCs w:val="24"/>
              </w:rPr>
              <w:t>NTP “AGROTEKNIKA”  Mamushë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9218CB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9218CB">
              <w:rPr>
                <w:sz w:val="22"/>
                <w:szCs w:val="22"/>
              </w:rPr>
              <w:t>Mamush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9218CB">
              <w:rPr>
                <w:sz w:val="22"/>
                <w:szCs w:val="22"/>
              </w:rPr>
              <w:t xml:space="preserve"> Mamush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764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0764D4">
              <w:rPr>
                <w:i/>
                <w:sz w:val="22"/>
                <w:szCs w:val="22"/>
                <w:highlight w:val="lightGray"/>
              </w:rPr>
              <w:t>2</w:t>
            </w:r>
            <w:bookmarkStart w:id="17" w:name="_GoBack"/>
            <w:bookmarkEnd w:id="17"/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218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1F6054">
              <w:rPr>
                <w:sz w:val="24"/>
                <w:szCs w:val="24"/>
              </w:rPr>
              <w:t>Fatih Mazreku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1F6054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1F6054">
              <w:rPr>
                <w:sz w:val="22"/>
                <w:szCs w:val="22"/>
              </w:rPr>
              <w:t>agroteknikaks@hotmail.com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FB2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F3FE3">
              <w:rPr>
                <w:sz w:val="22"/>
                <w:szCs w:val="22"/>
              </w:rPr>
              <w:t xml:space="preserve"> </w:t>
            </w:r>
            <w:r w:rsidR="001F6054">
              <w:rPr>
                <w:sz w:val="22"/>
                <w:szCs w:val="22"/>
              </w:rPr>
              <w:t>045 664 994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B2252" w:rsidRDefault="008523A0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141C1C">
              <w:rPr>
                <w:b/>
                <w:color w:val="FF0000"/>
                <w:sz w:val="24"/>
                <w:szCs w:val="24"/>
              </w:rPr>
              <w:t xml:space="preserve">  </w:t>
            </w:r>
            <w:r w:rsidR="00007BBE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218CB">
              <w:rPr>
                <w:b/>
                <w:i/>
                <w:iCs/>
                <w:color w:val="FF0000"/>
                <w:sz w:val="24"/>
                <w:szCs w:val="24"/>
              </w:rPr>
              <w:t>20,000.00</w:t>
            </w:r>
            <w:r w:rsidR="00456931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4B1898" w:rsidRPr="00A0722B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>
              <w:rPr>
                <w:i/>
                <w:iCs/>
                <w:sz w:val="24"/>
                <w:szCs w:val="24"/>
              </w:rPr>
              <w:tab/>
            </w:r>
            <w:r w:rsidR="00A0722B">
              <w:rPr>
                <w:i/>
                <w:iCs/>
                <w:sz w:val="24"/>
                <w:szCs w:val="24"/>
              </w:rPr>
              <w:tab/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A0722B">
              <w:rPr>
                <w:sz w:val="24"/>
                <w:szCs w:val="24"/>
              </w:rPr>
              <w:t xml:space="preserve"> </w:t>
            </w:r>
            <w:r w:rsidR="00CB5405">
              <w:rPr>
                <w:sz w:val="24"/>
                <w:szCs w:val="24"/>
              </w:rPr>
              <w:t>plani dinamik i kontraktorit</w:t>
            </w:r>
          </w:p>
          <w:p w:rsidR="00F72EDF" w:rsidRDefault="0039429C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</w:t>
            </w:r>
            <w:r w:rsidR="007766E5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F09D6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218CB">
              <w:rPr>
                <w:b/>
                <w:i/>
                <w:iCs/>
                <w:color w:val="FF0000"/>
                <w:sz w:val="24"/>
                <w:szCs w:val="24"/>
              </w:rPr>
              <w:t xml:space="preserve">20,000.00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B404FD" w:rsidRPr="00CB2252" w:rsidRDefault="0039429C" w:rsidP="00007BBE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FF4E5A">
              <w:rPr>
                <w:i/>
                <w:iCs/>
                <w:color w:val="FF0000"/>
                <w:sz w:val="24"/>
                <w:szCs w:val="24"/>
              </w:rPr>
              <w:t xml:space="preserve">   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ab/>
            </w:r>
            <w:r w:rsidR="009218CB">
              <w:rPr>
                <w:b/>
                <w:i/>
                <w:iCs/>
                <w:color w:val="FF0000"/>
                <w:sz w:val="24"/>
                <w:szCs w:val="24"/>
              </w:rPr>
              <w:t>36,825.00</w:t>
            </w:r>
            <w:r w:rsidR="00F72EDF" w:rsidRPr="005F09D6">
              <w:rPr>
                <w:b/>
                <w:i/>
                <w:iCs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576E4B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9" w:name="Check26"/>
                  <w:r w:rsidR="00456931">
                    <w:instrText xml:space="preserve"> FORMCHECKBOX </w:instrText>
                  </w:r>
                  <w:r w:rsidR="00576E4B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576E4B">
              <w:rPr>
                <w:sz w:val="24"/>
                <w:szCs w:val="24"/>
              </w:rPr>
            </w:r>
            <w:r w:rsidR="00576E4B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0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E4B" w:rsidRDefault="00576E4B">
      <w:r>
        <w:separator/>
      </w:r>
    </w:p>
  </w:endnote>
  <w:endnote w:type="continuationSeparator" w:id="0">
    <w:p w:rsidR="00576E4B" w:rsidRDefault="0057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64D4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E4B" w:rsidRDefault="00576E4B">
      <w:r>
        <w:separator/>
      </w:r>
    </w:p>
  </w:footnote>
  <w:footnote w:type="continuationSeparator" w:id="0">
    <w:p w:rsidR="00576E4B" w:rsidRDefault="00576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74126"/>
    <w:rsid w:val="000764D4"/>
    <w:rsid w:val="00077E31"/>
    <w:rsid w:val="0009208A"/>
    <w:rsid w:val="000A2C07"/>
    <w:rsid w:val="000B73B5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061E0"/>
    <w:rsid w:val="0011066A"/>
    <w:rsid w:val="00112372"/>
    <w:rsid w:val="00113C58"/>
    <w:rsid w:val="00115B8B"/>
    <w:rsid w:val="00117809"/>
    <w:rsid w:val="0012545C"/>
    <w:rsid w:val="00126063"/>
    <w:rsid w:val="00141C1C"/>
    <w:rsid w:val="0014477C"/>
    <w:rsid w:val="00145339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054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262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871DD"/>
    <w:rsid w:val="00492000"/>
    <w:rsid w:val="00493D92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2B0A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36BE9"/>
    <w:rsid w:val="00541722"/>
    <w:rsid w:val="0054193E"/>
    <w:rsid w:val="005524C5"/>
    <w:rsid w:val="00562630"/>
    <w:rsid w:val="0056468B"/>
    <w:rsid w:val="00566929"/>
    <w:rsid w:val="00566C35"/>
    <w:rsid w:val="00574537"/>
    <w:rsid w:val="005757D8"/>
    <w:rsid w:val="00576E4B"/>
    <w:rsid w:val="0058131A"/>
    <w:rsid w:val="005867B5"/>
    <w:rsid w:val="00586C1E"/>
    <w:rsid w:val="005879FF"/>
    <w:rsid w:val="005945D2"/>
    <w:rsid w:val="00597D8A"/>
    <w:rsid w:val="005A19EB"/>
    <w:rsid w:val="005A38EA"/>
    <w:rsid w:val="005A6CDF"/>
    <w:rsid w:val="005C4CB0"/>
    <w:rsid w:val="005D16D8"/>
    <w:rsid w:val="005D65A9"/>
    <w:rsid w:val="005E1E80"/>
    <w:rsid w:val="005E749F"/>
    <w:rsid w:val="005F07C2"/>
    <w:rsid w:val="005F09D6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D075F"/>
    <w:rsid w:val="006D5B66"/>
    <w:rsid w:val="006D6109"/>
    <w:rsid w:val="006E4C79"/>
    <w:rsid w:val="006E7F50"/>
    <w:rsid w:val="006F0850"/>
    <w:rsid w:val="00700BDB"/>
    <w:rsid w:val="007134D2"/>
    <w:rsid w:val="00722FAB"/>
    <w:rsid w:val="0072501D"/>
    <w:rsid w:val="0073235A"/>
    <w:rsid w:val="00733932"/>
    <w:rsid w:val="00746257"/>
    <w:rsid w:val="007524A6"/>
    <w:rsid w:val="0076447D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315C"/>
    <w:rsid w:val="00854FF0"/>
    <w:rsid w:val="008663C9"/>
    <w:rsid w:val="00891D80"/>
    <w:rsid w:val="00894198"/>
    <w:rsid w:val="00895802"/>
    <w:rsid w:val="00896A48"/>
    <w:rsid w:val="00896AC9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8F3FE3"/>
    <w:rsid w:val="009007B5"/>
    <w:rsid w:val="009014BB"/>
    <w:rsid w:val="00902E8B"/>
    <w:rsid w:val="0090552F"/>
    <w:rsid w:val="0091512B"/>
    <w:rsid w:val="0091587B"/>
    <w:rsid w:val="0091662F"/>
    <w:rsid w:val="009218CB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181"/>
    <w:rsid w:val="00983E5A"/>
    <w:rsid w:val="00987C13"/>
    <w:rsid w:val="00991DDF"/>
    <w:rsid w:val="00994682"/>
    <w:rsid w:val="0099511B"/>
    <w:rsid w:val="0099618A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A04848"/>
    <w:rsid w:val="00A0722B"/>
    <w:rsid w:val="00A13DD2"/>
    <w:rsid w:val="00A14FBC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8748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0CD4"/>
    <w:rsid w:val="00BF2E26"/>
    <w:rsid w:val="00BF35FD"/>
    <w:rsid w:val="00BF3A14"/>
    <w:rsid w:val="00BF6648"/>
    <w:rsid w:val="00BF6977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1CAE"/>
    <w:rsid w:val="00C82DAB"/>
    <w:rsid w:val="00C838A7"/>
    <w:rsid w:val="00C8484D"/>
    <w:rsid w:val="00C85D83"/>
    <w:rsid w:val="00C93A36"/>
    <w:rsid w:val="00C95175"/>
    <w:rsid w:val="00C9739D"/>
    <w:rsid w:val="00CB0FB5"/>
    <w:rsid w:val="00CB2252"/>
    <w:rsid w:val="00CB2271"/>
    <w:rsid w:val="00CB2ECB"/>
    <w:rsid w:val="00CB3EA7"/>
    <w:rsid w:val="00CB5405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5E7A"/>
    <w:rsid w:val="00D44B9E"/>
    <w:rsid w:val="00D55735"/>
    <w:rsid w:val="00D5665E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0DA9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06F1"/>
    <w:rsid w:val="00EE1959"/>
    <w:rsid w:val="00EE25CF"/>
    <w:rsid w:val="00EF06F3"/>
    <w:rsid w:val="00EF7821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2EDF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B28FF"/>
    <w:rsid w:val="00FC3473"/>
    <w:rsid w:val="00FC46B6"/>
    <w:rsid w:val="00FC603D"/>
    <w:rsid w:val="00FD24FF"/>
    <w:rsid w:val="00FD27D8"/>
    <w:rsid w:val="00FE7283"/>
    <w:rsid w:val="00FE742E"/>
    <w:rsid w:val="00FF4118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662F-7FFC-4F01-A13B-4A02B6FA4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30</cp:revision>
  <cp:lastPrinted>2015-07-02T13:28:00Z</cp:lastPrinted>
  <dcterms:created xsi:type="dcterms:W3CDTF">2015-03-18T09:51:00Z</dcterms:created>
  <dcterms:modified xsi:type="dcterms:W3CDTF">2015-08-19T07:04:00Z</dcterms:modified>
</cp:coreProperties>
</file>