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025C1C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025C1C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217F6A">
        <w:rPr>
          <w:b/>
          <w:bCs/>
          <w:color w:val="FF0000"/>
          <w:sz w:val="24"/>
          <w:szCs w:val="24"/>
        </w:rPr>
        <w:t>2</w:t>
      </w:r>
      <w:r w:rsidR="007A531A">
        <w:rPr>
          <w:b/>
          <w:bCs/>
          <w:color w:val="FF0000"/>
          <w:sz w:val="24"/>
          <w:szCs w:val="24"/>
        </w:rPr>
        <w:t>4</w:t>
      </w:r>
      <w:r w:rsidR="00141C1C">
        <w:rPr>
          <w:b/>
          <w:bCs/>
          <w:color w:val="FF0000"/>
          <w:sz w:val="24"/>
          <w:szCs w:val="24"/>
        </w:rPr>
        <w:t>/03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217F6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025C1C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025C1C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025C1C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025C1C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025C1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217F6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217F6A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Hartimi i</w:t>
            </w:r>
            <w:r w:rsidR="007A531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projekteve kryesore  për nevoja të komunës së Gjilanit ndrja në dy lote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25C1C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25C1C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025C1C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025C1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217F6A" w:rsidP="0014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Hartimi i projekteve për nevoja të</w:t>
            </w:r>
            <w:r w:rsidR="00141C1C">
              <w:rPr>
                <w:sz w:val="24"/>
                <w:szCs w:val="24"/>
              </w:rPr>
              <w:t xml:space="preserve"> </w:t>
            </w:r>
            <w:r w:rsidR="00650DF7">
              <w:rPr>
                <w:sz w:val="24"/>
                <w:szCs w:val="24"/>
              </w:rPr>
              <w:t>Komun</w:t>
            </w:r>
            <w:r w:rsidR="00141C1C">
              <w:rPr>
                <w:sz w:val="24"/>
                <w:szCs w:val="24"/>
              </w:rPr>
              <w:t xml:space="preserve">ës së </w:t>
            </w:r>
            <w:r w:rsidR="00650DF7">
              <w:rPr>
                <w:sz w:val="24"/>
                <w:szCs w:val="24"/>
              </w:rPr>
              <w:t xml:space="preserve">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025C1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25C1C">
              <w:rPr>
                <w:b/>
                <w:bCs/>
                <w:sz w:val="24"/>
                <w:szCs w:val="24"/>
              </w:rPr>
            </w:r>
            <w:r w:rsidR="00025C1C">
              <w:rPr>
                <w:b/>
                <w:bCs/>
                <w:sz w:val="24"/>
                <w:szCs w:val="24"/>
              </w:rPr>
              <w:fldChar w:fldCharType="separate"/>
            </w:r>
            <w:r w:rsidR="00025C1C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025C1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25C1C">
              <w:rPr>
                <w:b/>
                <w:bCs/>
                <w:sz w:val="24"/>
                <w:szCs w:val="24"/>
              </w:rPr>
            </w:r>
            <w:r w:rsidR="00025C1C">
              <w:rPr>
                <w:b/>
                <w:bCs/>
                <w:sz w:val="24"/>
                <w:szCs w:val="24"/>
              </w:rPr>
              <w:fldChar w:fldCharType="separate"/>
            </w:r>
            <w:r w:rsidR="00025C1C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924F06" w:rsidRDefault="00924F06" w:rsidP="000F0D3C">
            <w:pPr>
              <w:ind w:left="540" w:hanging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Hartimi iprojekteve kryesore  për nevoja të komunës së Gjilanit :</w:t>
            </w:r>
          </w:p>
          <w:p w:rsidR="00FF4118" w:rsidRDefault="00924F0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Lot I: Hartimi i projekteve kryesore  për objekte të ndërtimit të lartë</w:t>
            </w:r>
          </w:p>
          <w:p w:rsidR="00924F06" w:rsidRPr="00141C1C" w:rsidRDefault="00924F0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Lot II: Hartimi i projekteve kryesore  për objekte të ndërtimit të ulët dhe infrastruktur tjetër  ujëskjellës dhe kanalizim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924F06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74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9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5C1C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025C1C">
        <w:rPr>
          <w:sz w:val="24"/>
          <w:szCs w:val="24"/>
        </w:rPr>
      </w:r>
      <w:r w:rsidR="00025C1C">
        <w:rPr>
          <w:sz w:val="24"/>
          <w:szCs w:val="24"/>
        </w:rPr>
        <w:fldChar w:fldCharType="separate"/>
      </w:r>
      <w:r w:rsidR="00025C1C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25C1C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24F06">
              <w:rPr>
                <w:color w:val="FF0000"/>
                <w:sz w:val="24"/>
                <w:szCs w:val="24"/>
              </w:rPr>
              <w:t>14</w:t>
            </w:r>
            <w:r w:rsidR="00976BF5">
              <w:rPr>
                <w:color w:val="FF0000"/>
                <w:sz w:val="24"/>
                <w:szCs w:val="24"/>
              </w:rPr>
              <w:t>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A531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24F06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7A531A">
              <w:rPr>
                <w:b/>
                <w:bCs/>
                <w:color w:val="FF0000"/>
                <w:sz w:val="24"/>
                <w:szCs w:val="24"/>
              </w:rPr>
              <w:t>4</w:t>
            </w:r>
            <w:bookmarkStart w:id="19" w:name="_GoBack"/>
            <w:bookmarkEnd w:id="19"/>
            <w:r w:rsidR="00141C1C">
              <w:rPr>
                <w:b/>
                <w:bCs/>
                <w:color w:val="FF0000"/>
                <w:sz w:val="24"/>
                <w:szCs w:val="24"/>
              </w:rPr>
              <w:t>/03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03D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303D3D">
              <w:rPr>
                <w:b/>
                <w:bCs/>
                <w:color w:val="FF0000"/>
                <w:sz w:val="24"/>
                <w:szCs w:val="24"/>
              </w:rPr>
              <w:t>kontratës  06/04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924F06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141C1C" w:rsidRDefault="00141C1C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Lot I:   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924F06">
              <w:rPr>
                <w:i/>
                <w:color w:val="FF0000"/>
                <w:sz w:val="24"/>
                <w:szCs w:val="24"/>
              </w:rPr>
              <w:t>“PRO ART ING” Sh.p.k.  Ferizaj</w:t>
            </w:r>
          </w:p>
          <w:p w:rsidR="00F440F4" w:rsidRPr="00141C1C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i/>
                <w:color w:val="FF0000"/>
                <w:sz w:val="24"/>
                <w:szCs w:val="24"/>
              </w:rPr>
              <w:t xml:space="preserve">Lot II: </w:t>
            </w:r>
            <w:r w:rsidR="00F440F4" w:rsidRPr="00141C1C">
              <w:rPr>
                <w:color w:val="FF0000"/>
                <w:sz w:val="24"/>
                <w:szCs w:val="24"/>
              </w:rPr>
              <w:tab/>
            </w:r>
            <w:r w:rsidRPr="00141C1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 w:rsidR="00924F06">
              <w:rPr>
                <w:color w:val="FF0000"/>
                <w:sz w:val="24"/>
                <w:szCs w:val="24"/>
              </w:rPr>
              <w:t>“EDONA $ NGRUP” sh.p.k.  Prishtinë</w:t>
            </w:r>
          </w:p>
          <w:p w:rsidR="00141C1C" w:rsidRPr="00437C7E" w:rsidRDefault="00141C1C" w:rsidP="00141C1C">
            <w:pPr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41C1C" w:rsidRDefault="008523A0" w:rsidP="005867B5">
            <w:pPr>
              <w:rPr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B404FD">
              <w:rPr>
                <w:color w:val="FF0000"/>
                <w:sz w:val="24"/>
                <w:szCs w:val="24"/>
              </w:rPr>
              <w:t xml:space="preserve">Lot I: </w:t>
            </w:r>
            <w:r w:rsidR="00924F06">
              <w:rPr>
                <w:color w:val="FF0000"/>
                <w:sz w:val="24"/>
                <w:szCs w:val="24"/>
              </w:rPr>
              <w:t>25,412.00 €</w:t>
            </w:r>
          </w:p>
          <w:p w:rsidR="00141C1C" w:rsidRDefault="00924F06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II: 18,364.54</w:t>
            </w:r>
            <w:r w:rsidR="00141C1C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41C1C" w:rsidRPr="00CB2252" w:rsidRDefault="00141C1C" w:rsidP="00924F06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15991">
              <w:rPr>
                <w:sz w:val="24"/>
                <w:szCs w:val="24"/>
              </w:rPr>
              <w:t>10/04/2015 deri 10/04</w:t>
            </w:r>
            <w:r w:rsidR="00B43B56">
              <w:rPr>
                <w:sz w:val="24"/>
                <w:szCs w:val="24"/>
              </w:rPr>
              <w:t>/2018</w:t>
            </w:r>
          </w:p>
          <w:p w:rsidR="00924F06" w:rsidRPr="00141C1C" w:rsidRDefault="0039429C" w:rsidP="00924F06">
            <w:pPr>
              <w:rPr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924F06">
              <w:rPr>
                <w:color w:val="FF0000"/>
                <w:sz w:val="24"/>
                <w:szCs w:val="24"/>
              </w:rPr>
              <w:t>Lot I: 25,412.00 €</w:t>
            </w:r>
          </w:p>
          <w:p w:rsidR="00924F06" w:rsidRDefault="00924F06" w:rsidP="00924F06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II: 18,364.54 €</w:t>
            </w:r>
          </w:p>
          <w:p w:rsidR="00A0722B" w:rsidRPr="00A0722B" w:rsidRDefault="00A0722B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924F06" w:rsidRPr="00141C1C" w:rsidRDefault="0039429C" w:rsidP="00924F0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924F06">
              <w:rPr>
                <w:color w:val="FF0000"/>
                <w:sz w:val="24"/>
                <w:szCs w:val="24"/>
              </w:rPr>
              <w:t xml:space="preserve">Lot I: </w:t>
            </w:r>
            <w:r w:rsidR="00E63FD2">
              <w:rPr>
                <w:color w:val="FF0000"/>
                <w:sz w:val="24"/>
                <w:szCs w:val="24"/>
              </w:rPr>
              <w:t xml:space="preserve">74,202.50 </w:t>
            </w:r>
            <w:r w:rsidR="00924F06">
              <w:rPr>
                <w:color w:val="FF0000"/>
                <w:sz w:val="24"/>
                <w:szCs w:val="24"/>
              </w:rPr>
              <w:t xml:space="preserve"> €</w:t>
            </w:r>
          </w:p>
          <w:p w:rsidR="00924F06" w:rsidRDefault="00924F06" w:rsidP="00924F06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II: </w:t>
            </w:r>
            <w:r w:rsidR="00E63FD2">
              <w:rPr>
                <w:i/>
                <w:iCs/>
                <w:color w:val="FF0000"/>
                <w:sz w:val="24"/>
                <w:szCs w:val="24"/>
              </w:rPr>
              <w:t>131,610.00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025C1C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025C1C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025C1C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25C1C">
              <w:rPr>
                <w:sz w:val="24"/>
                <w:szCs w:val="24"/>
              </w:rPr>
            </w:r>
            <w:r w:rsidR="00025C1C">
              <w:rPr>
                <w:sz w:val="24"/>
                <w:szCs w:val="24"/>
              </w:rPr>
              <w:fldChar w:fldCharType="separate"/>
            </w:r>
            <w:r w:rsidR="00025C1C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28B" w:rsidRDefault="0050028B">
      <w:r>
        <w:separator/>
      </w:r>
    </w:p>
  </w:endnote>
  <w:endnote w:type="continuationSeparator" w:id="0">
    <w:p w:rsidR="0050028B" w:rsidRDefault="0050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025C1C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BB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28B" w:rsidRDefault="0050028B">
      <w:r>
        <w:separator/>
      </w:r>
    </w:p>
  </w:footnote>
  <w:footnote w:type="continuationSeparator" w:id="0">
    <w:p w:rsidR="0050028B" w:rsidRDefault="00500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5991"/>
    <w:rsid w:val="000169EE"/>
    <w:rsid w:val="00025C1C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7F6A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3D3D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028B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2BB3"/>
    <w:rsid w:val="00765FC9"/>
    <w:rsid w:val="00766941"/>
    <w:rsid w:val="00772573"/>
    <w:rsid w:val="007766E5"/>
    <w:rsid w:val="00777F2D"/>
    <w:rsid w:val="007845E5"/>
    <w:rsid w:val="007969C8"/>
    <w:rsid w:val="007A4ED8"/>
    <w:rsid w:val="007A531A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7CD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4F06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3848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D633F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3FD2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6F90-56BE-4CFC-92B3-690B4706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2015-02-23T12:18:00Z</cp:lastPrinted>
  <dcterms:created xsi:type="dcterms:W3CDTF">2015-03-25T09:38:00Z</dcterms:created>
  <dcterms:modified xsi:type="dcterms:W3CDTF">2015-03-25T09:38:00Z</dcterms:modified>
</cp:coreProperties>
</file>