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Default="0030106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5252E4"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DE5E2F">
        <w:rPr>
          <w:b/>
          <w:bCs/>
          <w:sz w:val="24"/>
          <w:szCs w:val="24"/>
        </w:rPr>
        <w:t xml:space="preserve"> </w:t>
      </w:r>
      <w:r w:rsidR="005A569C">
        <w:rPr>
          <w:b/>
          <w:bCs/>
          <w:color w:val="FF0000"/>
          <w:sz w:val="24"/>
          <w:szCs w:val="24"/>
        </w:rPr>
        <w:t>17</w:t>
      </w:r>
      <w:r w:rsidR="00DE5E2F" w:rsidRPr="00540097">
        <w:rPr>
          <w:b/>
          <w:bCs/>
          <w:color w:val="FF0000"/>
          <w:sz w:val="24"/>
          <w:szCs w:val="24"/>
        </w:rPr>
        <w:t>/04</w:t>
      </w:r>
      <w:r w:rsidR="001341D2" w:rsidRPr="00540097">
        <w:rPr>
          <w:b/>
          <w:bCs/>
          <w:color w:val="FF0000"/>
          <w:sz w:val="24"/>
          <w:szCs w:val="24"/>
        </w:rPr>
        <w:t>/</w:t>
      </w:r>
      <w:r w:rsidR="001341D2">
        <w:rPr>
          <w:b/>
          <w:bCs/>
          <w:color w:val="FF0000"/>
          <w:sz w:val="24"/>
          <w:szCs w:val="24"/>
        </w:rPr>
        <w:t>2014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1341D2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341D2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5A569C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5A569C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1341D2">
              <w:rPr>
                <w:b/>
                <w:sz w:val="24"/>
                <w:szCs w:val="24"/>
              </w:rPr>
              <w:t>Nazmi Halili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539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B83D24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  <w:r w:rsidR="00301064">
              <w:t>X</w:t>
            </w:r>
          </w:p>
        </w:tc>
        <w:bookmarkStart w:id="1" w:name="Check5"/>
        <w:tc>
          <w:tcPr>
            <w:tcW w:w="514" w:type="dxa"/>
            <w:vAlign w:val="center"/>
          </w:tcPr>
          <w:p w:rsidR="005252E4" w:rsidRPr="00FA0EC5" w:rsidRDefault="00B83D24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470140" w:rsidP="005A569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Ndër</w:t>
            </w:r>
            <w:r w:rsidR="005A569C">
              <w:rPr>
                <w:b/>
                <w:bCs/>
                <w:i/>
                <w:color w:val="FF0000"/>
                <w:sz w:val="28"/>
                <w:szCs w:val="28"/>
              </w:rPr>
              <w:t xml:space="preserve">timi i terenit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 sportiv në fshat</w:t>
            </w:r>
            <w:r w:rsidR="005A569C">
              <w:rPr>
                <w:b/>
                <w:bCs/>
                <w:i/>
                <w:color w:val="FF0000"/>
                <w:sz w:val="28"/>
                <w:szCs w:val="28"/>
              </w:rPr>
              <w:t>in Livoq i Epërm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2" w:name="Check6"/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B83D2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 w:rsidRPr="00B30B22">
              <w:rPr>
                <w:b/>
                <w:bCs/>
                <w:color w:val="FF0000"/>
                <w:sz w:val="24"/>
                <w:szCs w:val="24"/>
              </w:rPr>
              <w:t>X</w:t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B83D2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B83D2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B83D2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B83D2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B83D2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në çfarëdo </w:t>
            </w:r>
            <w:r w:rsidR="005252E4">
              <w:rPr>
                <w:sz w:val="24"/>
                <w:szCs w:val="24"/>
              </w:rPr>
              <w:lastRenderedPageBreak/>
              <w:t>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B83D2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B83D2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B83D2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B83D2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B83D2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A6036A" w:rsidRDefault="005A569C" w:rsidP="00182ACB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Fshati Livoq i Epërm </w:t>
            </w:r>
            <w:r w:rsidR="00E173C9" w:rsidRPr="00A6036A">
              <w:rPr>
                <w:b/>
                <w:color w:val="FF0000"/>
                <w:sz w:val="24"/>
                <w:szCs w:val="24"/>
              </w:rPr>
              <w:t xml:space="preserve">Komuna e </w:t>
            </w:r>
            <w:r w:rsidR="005252E4" w:rsidRPr="00A6036A">
              <w:rPr>
                <w:b/>
                <w:color w:val="FF0000"/>
                <w:sz w:val="24"/>
                <w:szCs w:val="24"/>
              </w:rPr>
              <w:t xml:space="preserve"> Gjilanit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5252E4" w:rsidRPr="00FA0EC5" w:rsidRDefault="00B83D24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5252E4" w:rsidRPr="00FA0EC5" w:rsidRDefault="00B83D24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3"/>
                <w:p w:rsidR="005252E4" w:rsidRPr="00FA0EC5" w:rsidRDefault="00B83D24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B83D24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5"/>
                <w:p w:rsidR="005252E4" w:rsidRPr="00FA0EC5" w:rsidRDefault="00B83D24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B83D24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5A569C">
        <w:trPr>
          <w:trHeight w:val="111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5A569C" w:rsidP="00C907FB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Ndërtimi i terrenit  sportiv në fshatin Livoq i Epërm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5252E4" w:rsidRPr="00FA0EC5" w:rsidRDefault="00B83D24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19"/>
              <w:tc>
                <w:tcPr>
                  <w:tcW w:w="794" w:type="dxa"/>
                  <w:vAlign w:val="center"/>
                </w:tcPr>
                <w:p w:rsidR="005252E4" w:rsidRPr="00FA0EC5" w:rsidRDefault="00B83D24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bookmarkStart w:id="21" w:name="Check21"/>
          <w:p w:rsidR="005252E4" w:rsidRPr="00FA0EC5" w:rsidRDefault="00B83D2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X 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2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AA7BC7" w:rsidRDefault="00AA7BC7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01162" w:rsidRPr="00AA7BC7" w:rsidRDefault="005A569C" w:rsidP="00AA7BC7">
                  <w:pPr>
                    <w:overflowPunct/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Ndërtimi i terrenit  sportiv në fshatin Livoq i Epërm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A569C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Përfundimi</w:t>
            </w:r>
            <w:r w:rsidR="0079626B">
              <w:rPr>
                <w:sz w:val="24"/>
                <w:szCs w:val="24"/>
              </w:rPr>
              <w:t xml:space="preserve">: </w:t>
            </w:r>
            <w:r w:rsidRPr="00581E2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182ACB">
                  <w:bookmarkStart w:id="24" w:name="Check24"/>
                  <w:r w:rsidRPr="00E173C9">
                    <w:t xml:space="preserve">X </w:t>
                  </w:r>
                  <w:r w:rsidR="00B83D24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B83D24" w:rsidRPr="00E173C9"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5" w:name="Check25"/>
              <w:tc>
                <w:tcPr>
                  <w:tcW w:w="514" w:type="dxa"/>
                  <w:vAlign w:val="center"/>
                </w:tcPr>
                <w:p w:rsidR="005252E4" w:rsidRPr="00E173C9" w:rsidRDefault="00B83D24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Pr="00E173C9">
                    <w:fldChar w:fldCharType="end"/>
                  </w:r>
                  <w:bookmarkEnd w:id="2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3E659E" w:rsidP="003E659E">
                  <w:r w:rsidRPr="00E173C9">
                    <w:t xml:space="preserve">X </w:t>
                  </w:r>
                  <w:r w:rsidR="00B83D24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B83D24" w:rsidRPr="00E173C9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B83D24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="0080024A">
              <w:rPr>
                <w:sz w:val="24"/>
                <w:szCs w:val="24"/>
              </w:rPr>
              <w:t xml:space="preserve">kualitetit të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="0080024A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</w:t>
            </w:r>
            <w:r w:rsidR="0080024A">
              <w:rPr>
                <w:sz w:val="24"/>
                <w:szCs w:val="24"/>
              </w:rPr>
              <w:t>vjeçare</w:t>
            </w:r>
            <w:r>
              <w:rPr>
                <w:sz w:val="24"/>
                <w:szCs w:val="24"/>
              </w:rPr>
              <w:t xml:space="preserve"> nga dita e pranimit teknik të punëve</w:t>
            </w:r>
            <w:r w:rsidR="0080024A"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26"/>
              <w:tc>
                <w:tcPr>
                  <w:tcW w:w="794" w:type="dxa"/>
                  <w:vAlign w:val="center"/>
                </w:tcPr>
                <w:p w:rsidR="005252E4" w:rsidRPr="00FA0EC5" w:rsidRDefault="00B83D24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66489D" w:rsidP="00182ACB">
                  <w:pPr>
                    <w:rPr>
                      <w:b/>
                    </w:rPr>
                  </w:pPr>
                  <w:r w:rsidRPr="0066489D">
                    <w:rPr>
                      <w:b/>
                    </w:rPr>
                    <w:t>X</w:t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5252E4" w:rsidRDefault="005252E4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1341D2" w:rsidRDefault="001341D2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5A569C" w:rsidRDefault="005A569C" w:rsidP="005252E4">
      <w:pPr>
        <w:rPr>
          <w:b/>
          <w:bCs/>
          <w:sz w:val="24"/>
          <w:szCs w:val="24"/>
        </w:rPr>
      </w:pPr>
    </w:p>
    <w:p w:rsidR="005A569C" w:rsidRDefault="005A569C" w:rsidP="005252E4">
      <w:pPr>
        <w:rPr>
          <w:b/>
          <w:bCs/>
          <w:sz w:val="24"/>
          <w:szCs w:val="24"/>
        </w:rPr>
      </w:pPr>
    </w:p>
    <w:p w:rsidR="005A569C" w:rsidRDefault="005A569C" w:rsidP="005252E4">
      <w:pPr>
        <w:rPr>
          <w:b/>
          <w:bCs/>
          <w:sz w:val="24"/>
          <w:szCs w:val="24"/>
        </w:rPr>
      </w:pPr>
    </w:p>
    <w:p w:rsidR="005A569C" w:rsidRDefault="005A569C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305D5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9626B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3449DE" w:rsidRPr="0079626B">
              <w:rPr>
                <w:rFonts w:ascii="Arial" w:hAnsi="Arial" w:cs="Arial"/>
                <w:b/>
                <w:sz w:val="22"/>
                <w:szCs w:val="22"/>
              </w:rPr>
              <w:t>nënshkruar dhe vulosur,</w:t>
            </w:r>
          </w:p>
          <w:p w:rsidR="002A45F4" w:rsidRPr="002A45F4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fitu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sin e tenderit</w:t>
            </w:r>
            <w:r w:rsidR="0079626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5252E4" w:rsidRPr="005F5EF1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</w:t>
            </w:r>
            <w:r w:rsidR="0080024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ali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për fituesin e tenderit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5380A" w:rsidRDefault="0080024A" w:rsidP="005A569C">
            <w:pPr>
              <w:widowControl/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B70A4F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450968" w:rsidRPr="005A569C" w:rsidRDefault="001C353D" w:rsidP="00E173C9">
            <w:pPr>
              <w:widowControl/>
              <w:numPr>
                <w:ilvl w:val="0"/>
                <w:numId w:val="8"/>
              </w:numPr>
              <w:tabs>
                <w:tab w:val="num" w:pos="587"/>
              </w:tabs>
              <w:overflowPunct/>
              <w:autoSpaceDE/>
              <w:autoSpaceDN/>
              <w:adjustRightInd/>
              <w:ind w:left="587" w:hanging="36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0C73E3" w:rsidRPr="000C73E3" w:rsidRDefault="001C353D" w:rsidP="00C011F4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E173C9" w:rsidRPr="00777718" w:rsidRDefault="00E173C9" w:rsidP="00777718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="00CC4BE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 asfaltimit </w:t>
            </w:r>
            <w:r w:rsidR="0045096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ë rrugëve</w:t>
            </w:r>
            <w:r w:rsidR="0079626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, tereneve sportive si dhe punë të mgjajshme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9626B">
              <w:rPr>
                <w:rFonts w:ascii="Arial" w:hAnsi="Arial" w:cs="Arial"/>
                <w:bCs/>
                <w:sz w:val="22"/>
                <w:szCs w:val="22"/>
              </w:rPr>
              <w:t>në tri vitet e fundit minimum  dy (2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>) të shoqëruara me kontrata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E173C9" w:rsidRPr="00450968" w:rsidRDefault="00E173C9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të jetë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INXHINIER I NDËRTIMITARISË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(</w:t>
            </w:r>
            <w:r w:rsidR="0079626B">
              <w:rPr>
                <w:rFonts w:ascii="Arial" w:hAnsi="Arial" w:cs="Arial"/>
                <w:bCs/>
                <w:color w:val="FF0000"/>
                <w:sz w:val="22"/>
                <w:szCs w:val="22"/>
              </w:rPr>
              <w:t>të caktohet me shkresë nga Operatori Ekonomik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)</w:t>
            </w:r>
            <w:r w:rsidR="0079626B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diploma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</w:p>
          <w:p w:rsidR="00123DDA" w:rsidRPr="00182ACB" w:rsidRDefault="00FD5A7E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E173C9" w:rsidRPr="008A3539" w:rsidRDefault="00E173C9" w:rsidP="00E173C9">
            <w:pPr>
              <w:widowControl/>
              <w:overflowPunct/>
              <w:autoSpaceDE/>
              <w:autoSpaceDN/>
              <w:adjustRightInd/>
              <w:ind w:left="522"/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Pr="0079626B" w:rsidRDefault="004B0F54" w:rsidP="00341D23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9626B">
              <w:rPr>
                <w:rFonts w:ascii="Arial" w:hAnsi="Arial" w:cs="Arial"/>
                <w:sz w:val="22"/>
                <w:szCs w:val="22"/>
              </w:rPr>
              <w:t>Certifikatat-Referencat</w:t>
            </w:r>
            <w:r w:rsidR="00123DDA" w:rsidRPr="0079626B">
              <w:rPr>
                <w:rFonts w:ascii="Arial" w:hAnsi="Arial" w:cs="Arial"/>
                <w:sz w:val="22"/>
                <w:szCs w:val="22"/>
              </w:rPr>
              <w:t xml:space="preserve"> e punëve të kryera </w:t>
            </w:r>
            <w:r w:rsidRPr="0079626B">
              <w:rPr>
                <w:rFonts w:ascii="Arial" w:hAnsi="Arial" w:cs="Arial"/>
                <w:sz w:val="22"/>
                <w:szCs w:val="22"/>
              </w:rPr>
              <w:t xml:space="preserve">bashkë me kontratat, Certifikatat-Referencat  duhet të tregojnë: </w:t>
            </w:r>
            <w:r w:rsidRPr="007962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vlerën; datën; natyrën dhe vendin e projekteve të punëve </w:t>
            </w:r>
            <w:r w:rsidRPr="0079626B">
              <w:rPr>
                <w:rFonts w:ascii="Arial" w:hAnsi="Arial" w:cs="Arial"/>
                <w:bCs/>
                <w:sz w:val="22"/>
                <w:szCs w:val="22"/>
              </w:rPr>
              <w:t xml:space="preserve">në </w:t>
            </w:r>
            <w:r w:rsidRPr="0079626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 e asfaltimit të rrugëve</w:t>
            </w:r>
            <w:r w:rsidR="0079626B">
              <w:rPr>
                <w:rFonts w:ascii="Arial" w:hAnsi="Arial" w:cs="Arial"/>
                <w:sz w:val="22"/>
                <w:szCs w:val="22"/>
                <w:lang w:eastAsia="en-US"/>
              </w:rPr>
              <w:t>, tereneve sportive dhe  si dhe punë të ngjashme për tri vitet e fundit minimum  dy ( 2 )   referenca</w:t>
            </w:r>
            <w:r w:rsidRPr="007962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9626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79626B" w:rsidRPr="0079626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kopje</w:t>
            </w:r>
          </w:p>
          <w:p w:rsidR="0079626B" w:rsidRPr="0079626B" w:rsidRDefault="00EE0609" w:rsidP="0081431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79626B">
              <w:rPr>
                <w:rFonts w:ascii="Arial" w:hAnsi="Arial" w:cs="Arial"/>
                <w:bCs/>
                <w:sz w:val="22"/>
                <w:szCs w:val="22"/>
              </w:rPr>
              <w:t>2.</w:t>
            </w:r>
            <w:r w:rsidR="0081431E">
              <w:rPr>
                <w:rFonts w:ascii="Arial" w:hAnsi="Arial" w:cs="Arial"/>
                <w:bCs/>
                <w:sz w:val="22"/>
                <w:szCs w:val="22"/>
              </w:rPr>
              <w:t xml:space="preserve">        </w:t>
            </w:r>
            <w:r w:rsidR="0079626B" w:rsidRPr="00C33FBD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të jetë </w:t>
            </w:r>
            <w:r w:rsidR="0079626B" w:rsidRPr="0079626B">
              <w:rPr>
                <w:rFonts w:ascii="Arial" w:hAnsi="Arial" w:cs="Arial"/>
                <w:bCs/>
                <w:sz w:val="22"/>
                <w:szCs w:val="22"/>
              </w:rPr>
              <w:t xml:space="preserve">INXHINIER I NDËRTIMITARISË (të caktohet me shkresë </w:t>
            </w:r>
            <w:r w:rsidR="0081431E">
              <w:rPr>
                <w:rFonts w:ascii="Arial" w:hAnsi="Arial" w:cs="Arial"/>
                <w:bCs/>
                <w:sz w:val="22"/>
                <w:szCs w:val="22"/>
              </w:rPr>
              <w:t xml:space="preserve">           </w:t>
            </w:r>
            <w:r w:rsidR="0079626B" w:rsidRPr="0079626B">
              <w:rPr>
                <w:rFonts w:ascii="Arial" w:hAnsi="Arial" w:cs="Arial"/>
                <w:bCs/>
                <w:sz w:val="22"/>
                <w:szCs w:val="22"/>
              </w:rPr>
              <w:t xml:space="preserve">nga Operatori Ekonomik) </w:t>
            </w:r>
            <w:r w:rsidR="0079626B" w:rsidRPr="0079626B">
              <w:rPr>
                <w:rFonts w:ascii="Arial" w:hAnsi="Arial" w:cs="Arial"/>
                <w:b/>
                <w:bCs/>
                <w:sz w:val="22"/>
                <w:szCs w:val="22"/>
              </w:rPr>
              <w:t>diploma origjinali ose e notorizuar.</w:t>
            </w:r>
          </w:p>
          <w:p w:rsidR="0079626B" w:rsidRPr="0079626B" w:rsidRDefault="0079626B" w:rsidP="0081431E">
            <w:pPr>
              <w:widowControl/>
              <w:overflowPunct/>
              <w:autoSpaceDE/>
              <w:autoSpaceDN/>
              <w:adjustRightInd/>
              <w:ind w:left="10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3. </w:t>
            </w:r>
            <w:r w:rsidR="00E5784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1431E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E57844">
              <w:rPr>
                <w:rFonts w:ascii="Arial" w:hAnsi="Arial" w:cs="Arial"/>
                <w:bCs/>
                <w:sz w:val="22"/>
                <w:szCs w:val="22"/>
              </w:rPr>
              <w:t xml:space="preserve">Plani dinamik i Operatorit ekonomik  </w:t>
            </w:r>
            <w:r w:rsidR="00E57844" w:rsidRPr="00E57844">
              <w:rPr>
                <w:rFonts w:ascii="Arial" w:hAnsi="Arial" w:cs="Arial"/>
                <w:b/>
                <w:bCs/>
                <w:sz w:val="22"/>
                <w:szCs w:val="22"/>
              </w:rPr>
              <w:t>origjinal</w:t>
            </w:r>
          </w:p>
          <w:p w:rsidR="005252E4" w:rsidRPr="00E10F79" w:rsidRDefault="003C2103" w:rsidP="003C2103">
            <w:pPr>
              <w:ind w:left="602"/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2158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173C9" w:rsidRPr="0017638B">
              <w:rPr>
                <w:sz w:val="22"/>
                <w:szCs w:val="22"/>
              </w:rPr>
              <w:t>Punët e nënkontraktuar  nuk lejohen te kalojnë vlerën 40 % te ofertës. Ne rast se operatori ekonomik ose grupi i operatoreve ekonomik parasheh qe te angazhoj një nënkontraktor me vlere me te madhe se 10 % te ofertës se tij, atëherë ju duhet ta nominoni atë duke paraqitur emrin e tij dhe licencën e tij.</w:t>
            </w:r>
            <w:r w:rsidR="005252E4" w:rsidRPr="00C004D2">
              <w:rPr>
                <w:bCs/>
                <w:sz w:val="24"/>
                <w:szCs w:val="24"/>
              </w:rPr>
              <w:t>…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28"/>
              <w:tc>
                <w:tcPr>
                  <w:tcW w:w="840" w:type="dxa"/>
                  <w:vAlign w:val="center"/>
                </w:tcPr>
                <w:p w:rsidR="005252E4" w:rsidRPr="00FA0EC5" w:rsidRDefault="00B83D24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30"/>
              <w:tc>
                <w:tcPr>
                  <w:tcW w:w="794" w:type="dxa"/>
                  <w:vAlign w:val="center"/>
                </w:tcPr>
                <w:p w:rsidR="005252E4" w:rsidRPr="00FA0EC5" w:rsidRDefault="00B83D24" w:rsidP="00182ACB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8"/>
                  <w:r w:rsidR="00E57844"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9" w:name="Check31"/>
              <w:tc>
                <w:tcPr>
                  <w:tcW w:w="514" w:type="dxa"/>
                  <w:vAlign w:val="center"/>
                </w:tcPr>
                <w:p w:rsidR="005252E4" w:rsidRPr="00FA0EC5" w:rsidRDefault="00B83D24" w:rsidP="00182ACB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b/>
                <w:sz w:val="32"/>
                <w:szCs w:val="32"/>
              </w:rPr>
            </w:pPr>
            <w:bookmarkStart w:id="30" w:name="Check32"/>
            <w:r w:rsidRPr="00E57844">
              <w:rPr>
                <w:b/>
                <w:sz w:val="32"/>
                <w:szCs w:val="32"/>
              </w:rPr>
              <w:t xml:space="preserve">X </w:t>
            </w:r>
            <w:r w:rsidR="00B83D24" w:rsidRPr="00E57844">
              <w:rPr>
                <w:b/>
                <w:sz w:val="32"/>
                <w:szCs w:val="3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57844">
              <w:rPr>
                <w:b/>
                <w:sz w:val="32"/>
                <w:szCs w:val="32"/>
              </w:rPr>
              <w:instrText xml:space="preserve"> FORMCHECKBOX </w:instrText>
            </w:r>
            <w:r w:rsidR="00B83D24" w:rsidRPr="00E57844">
              <w:rPr>
                <w:b/>
                <w:sz w:val="32"/>
                <w:szCs w:val="32"/>
              </w:rPr>
            </w:r>
            <w:r w:rsidR="00B83D24" w:rsidRPr="00E57844">
              <w:rPr>
                <w:b/>
                <w:sz w:val="32"/>
                <w:szCs w:val="32"/>
              </w:rPr>
              <w:fldChar w:fldCharType="end"/>
            </w:r>
            <w:bookmarkEnd w:id="30"/>
            <w:r w:rsidRPr="00E57844">
              <w:rPr>
                <w:b/>
                <w:sz w:val="32"/>
                <w:szCs w:val="32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B83D24" w:rsidP="00182ACB">
            <w:pPr>
              <w:rPr>
                <w:sz w:val="24"/>
                <w:szCs w:val="24"/>
              </w:rPr>
            </w:pPr>
            <w:r w:rsidRPr="00E57844">
              <w:rPr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 w:rsidR="005252E4" w:rsidRPr="00E57844">
              <w:rPr>
                <w:sz w:val="24"/>
                <w:szCs w:val="24"/>
              </w:rPr>
              <w:instrText xml:space="preserve"> FORMCHECKBOX </w:instrText>
            </w:r>
            <w:r w:rsidRPr="00E57844">
              <w:rPr>
                <w:sz w:val="24"/>
                <w:szCs w:val="24"/>
              </w:rPr>
            </w:r>
            <w:r w:rsidRPr="00E57844">
              <w:rPr>
                <w:sz w:val="24"/>
                <w:szCs w:val="24"/>
              </w:rPr>
              <w:fldChar w:fldCharType="end"/>
            </w:r>
            <w:bookmarkEnd w:id="31"/>
            <w:r w:rsidR="005252E4" w:rsidRPr="00E57844">
              <w:rPr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B83D24" w:rsidP="00182ACB">
            <w:pPr>
              <w:rPr>
                <w:sz w:val="24"/>
                <w:szCs w:val="24"/>
              </w:rPr>
            </w:pPr>
            <w:r w:rsidRPr="00E57844">
              <w:rPr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 w:rsidR="005252E4" w:rsidRPr="00E57844">
              <w:rPr>
                <w:sz w:val="24"/>
                <w:szCs w:val="24"/>
              </w:rPr>
              <w:instrText xml:space="preserve"> FORMCHECKBOX </w:instrText>
            </w:r>
            <w:r w:rsidRPr="00E57844">
              <w:rPr>
                <w:sz w:val="24"/>
                <w:szCs w:val="24"/>
              </w:rPr>
            </w:r>
            <w:r w:rsidRPr="00E57844">
              <w:rPr>
                <w:sz w:val="24"/>
                <w:szCs w:val="24"/>
              </w:rPr>
              <w:fldChar w:fldCharType="end"/>
            </w:r>
            <w:bookmarkEnd w:id="32"/>
            <w:r w:rsidR="005252E4" w:rsidRPr="00E57844">
              <w:rPr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35"/>
              <w:tc>
                <w:tcPr>
                  <w:tcW w:w="794" w:type="dxa"/>
                  <w:vAlign w:val="center"/>
                </w:tcPr>
                <w:p w:rsidR="005252E4" w:rsidRPr="00FA0EC5" w:rsidRDefault="00B83D24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252E4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B83D24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8"/>
            <w:r w:rsidR="005252E4" w:rsidRPr="003D0AD8">
              <w:rPr>
                <w:b/>
              </w:rPr>
              <w:instrText xml:space="preserve"> FORMCHECKBOX </w:instrText>
            </w:r>
            <w:r w:rsidRPr="003D0AD8">
              <w:rPr>
                <w:b/>
              </w:rPr>
            </w:r>
            <w:r w:rsidRPr="003D0AD8">
              <w:rPr>
                <w:b/>
              </w:rPr>
              <w:fldChar w:fldCharType="end"/>
            </w:r>
            <w:bookmarkEnd w:id="34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5" w:name="Check39"/>
              <w:tc>
                <w:tcPr>
                  <w:tcW w:w="794" w:type="dxa"/>
                  <w:vAlign w:val="center"/>
                </w:tcPr>
                <w:p w:rsidR="005252E4" w:rsidRPr="00FA0EC5" w:rsidRDefault="00B83D24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dokumentet e para-kualifikimit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[dosjen e tenderit] [dokumentet  e para-kualifikimit]</w:t>
            </w:r>
            <w:r w:rsidRPr="00737330">
              <w:rPr>
                <w:sz w:val="22"/>
                <w:szCs w:val="22"/>
              </w:rPr>
              <w:t xml:space="preserve">:  </w:t>
            </w:r>
          </w:p>
          <w:p w:rsidR="005252E4" w:rsidRPr="00FA0EC5" w:rsidRDefault="005252E4" w:rsidP="00E57844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5A569C">
              <w:rPr>
                <w:b/>
                <w:color w:val="FF0000"/>
                <w:sz w:val="28"/>
                <w:szCs w:val="28"/>
              </w:rPr>
              <w:t>05/05</w:t>
            </w:r>
            <w:r w:rsidR="00FD5A7E" w:rsidRPr="0014408C">
              <w:rPr>
                <w:b/>
                <w:color w:val="FF0000"/>
                <w:sz w:val="28"/>
                <w:szCs w:val="28"/>
              </w:rPr>
              <w:t>/2014</w:t>
            </w:r>
            <w:r w:rsidR="00E173C9" w:rsidRPr="0014408C">
              <w:rPr>
                <w:b/>
                <w:color w:val="FF0000"/>
                <w:sz w:val="28"/>
                <w:szCs w:val="28"/>
              </w:rPr>
              <w:t xml:space="preserve"> ora 15.00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6" w:name="Check41"/>
              <w:tc>
                <w:tcPr>
                  <w:tcW w:w="794" w:type="dxa"/>
                  <w:vAlign w:val="center"/>
                </w:tcPr>
                <w:p w:rsidR="005252E4" w:rsidRPr="00FA0EC5" w:rsidRDefault="00B83D24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Pr="00FB0124">
              <w:rPr>
                <w:bCs/>
                <w:i/>
                <w:sz w:val="24"/>
                <w:szCs w:val="24"/>
              </w:rPr>
              <w:t>tenderëve][aplikacioneve]: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5A569C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5A569C">
              <w:rPr>
                <w:b/>
                <w:i/>
                <w:color w:val="FF0000"/>
                <w:sz w:val="28"/>
                <w:szCs w:val="28"/>
              </w:rPr>
              <w:t>08/05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/2014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DE5E2F">
              <w:rPr>
                <w:b/>
                <w:i/>
                <w:iCs/>
                <w:color w:val="FF0000"/>
                <w:sz w:val="28"/>
                <w:szCs w:val="28"/>
              </w:rPr>
              <w:t>4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B83D24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7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Pr="00C144B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4"/>
            <w:r w:rsidR="005252E4" w:rsidRPr="00C144B2">
              <w:rPr>
                <w:b/>
                <w:sz w:val="24"/>
                <w:szCs w:val="24"/>
              </w:rPr>
              <w:instrText xml:space="preserve"> FORMCHECKBOX </w:instrText>
            </w:r>
            <w:r w:rsidRPr="00C144B2">
              <w:rPr>
                <w:b/>
                <w:sz w:val="24"/>
                <w:szCs w:val="24"/>
              </w:rPr>
            </w:r>
            <w:r w:rsidRPr="00C144B2">
              <w:rPr>
                <w:b/>
                <w:sz w:val="24"/>
                <w:szCs w:val="24"/>
              </w:rPr>
              <w:fldChar w:fldCharType="end"/>
            </w:r>
            <w:bookmarkEnd w:id="38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 w:rsidRPr="00C144B2">
              <w:rPr>
                <w:b/>
                <w:sz w:val="24"/>
                <w:szCs w:val="24"/>
              </w:rPr>
              <w:t>X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CC4BE8" w:rsidRDefault="00C144B2" w:rsidP="00E173C9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  <w:p w:rsidR="00E173C9" w:rsidRPr="00E50723" w:rsidRDefault="00E173C9" w:rsidP="001C35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9" w:name="Check46"/>
              <w:tc>
                <w:tcPr>
                  <w:tcW w:w="514" w:type="dxa"/>
                  <w:vAlign w:val="center"/>
                </w:tcPr>
                <w:p w:rsidR="005252E4" w:rsidRPr="00FA0EC5" w:rsidRDefault="00B83D24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9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FD5A7E" w:rsidRPr="0014408C">
              <w:rPr>
                <w:b/>
                <w:color w:val="FF0000"/>
                <w:sz w:val="32"/>
                <w:szCs w:val="32"/>
              </w:rPr>
              <w:t>1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5D2559" w:rsidRDefault="005252E4" w:rsidP="00E173C9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>
              <w:rPr>
                <w:sz w:val="24"/>
                <w:szCs w:val="24"/>
              </w:rPr>
              <w:t xml:space="preserve">90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>
              <w:rPr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5A569C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>Deri më: d</w:t>
            </w:r>
            <w:r w:rsidRPr="00C719A2">
              <w:rPr>
                <w:sz w:val="22"/>
                <w:szCs w:val="22"/>
              </w:rPr>
              <w:t>ata</w:t>
            </w:r>
            <w:r w:rsidR="003D0AD8">
              <w:rPr>
                <w:sz w:val="22"/>
                <w:szCs w:val="22"/>
              </w:rPr>
              <w:t xml:space="preserve">: </w:t>
            </w:r>
            <w:r w:rsidR="005A569C">
              <w:rPr>
                <w:b/>
                <w:sz w:val="22"/>
                <w:szCs w:val="22"/>
              </w:rPr>
              <w:t>08/05</w:t>
            </w:r>
            <w:r w:rsidR="00FD5A7E">
              <w:rPr>
                <w:b/>
                <w:sz w:val="22"/>
                <w:szCs w:val="22"/>
              </w:rPr>
              <w:t>/2014</w:t>
            </w:r>
            <w:r w:rsidRPr="00C719A2">
              <w:rPr>
                <w:sz w:val="22"/>
                <w:szCs w:val="22"/>
              </w:rPr>
              <w:t xml:space="preserve">  </w:t>
            </w:r>
            <w:r w:rsidRPr="00C719A2">
              <w:rPr>
                <w:sz w:val="24"/>
                <w:szCs w:val="24"/>
              </w:rPr>
              <w:t xml:space="preserve">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E57844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5A569C">
              <w:rPr>
                <w:b/>
                <w:i/>
                <w:color w:val="FF0000"/>
                <w:sz w:val="28"/>
                <w:szCs w:val="28"/>
              </w:rPr>
              <w:t>08/05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/2014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DE5E2F">
              <w:rPr>
                <w:b/>
                <w:bCs/>
                <w:i/>
                <w:color w:val="FF0000"/>
                <w:sz w:val="28"/>
                <w:szCs w:val="28"/>
              </w:rPr>
              <w:t>4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E57844" w:rsidRDefault="00E5784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A569C" w:rsidRDefault="005A569C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8"/>
      <w:footerReference w:type="default" r:id="rId9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599" w:rsidRDefault="006F4599" w:rsidP="001204CC">
      <w:r>
        <w:separator/>
      </w:r>
    </w:p>
  </w:endnote>
  <w:endnote w:type="continuationSeparator" w:id="1">
    <w:p w:rsidR="006F4599" w:rsidRDefault="006F4599" w:rsidP="001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40" w:rsidRDefault="00B83D24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01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69C">
      <w:rPr>
        <w:rStyle w:val="PageNumber"/>
        <w:noProof/>
      </w:rPr>
      <w:t>7</w:t>
    </w:r>
    <w:r>
      <w:rPr>
        <w:rStyle w:val="PageNumber"/>
      </w:rPr>
      <w:fldChar w:fldCharType="end"/>
    </w:r>
  </w:p>
  <w:p w:rsidR="00470140" w:rsidRPr="00AB38F6" w:rsidRDefault="00470140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470140" w:rsidRPr="00AB38F6" w:rsidRDefault="00470140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599" w:rsidRDefault="006F4599" w:rsidP="001204CC">
      <w:r>
        <w:separator/>
      </w:r>
    </w:p>
  </w:footnote>
  <w:footnote w:type="continuationSeparator" w:id="1">
    <w:p w:rsidR="006F4599" w:rsidRDefault="006F4599" w:rsidP="001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40" w:rsidRDefault="00470140">
    <w:pPr>
      <w:tabs>
        <w:tab w:val="center" w:pos="4320"/>
        <w:tab w:val="right" w:pos="8640"/>
      </w:tabs>
      <w:rPr>
        <w:kern w:val="0"/>
      </w:rPr>
    </w:pPr>
  </w:p>
  <w:p w:rsidR="00470140" w:rsidRDefault="0047014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E4"/>
    <w:rsid w:val="000407F9"/>
    <w:rsid w:val="000626FD"/>
    <w:rsid w:val="00072277"/>
    <w:rsid w:val="00082DB3"/>
    <w:rsid w:val="000B3B10"/>
    <w:rsid w:val="000C6682"/>
    <w:rsid w:val="000C73E3"/>
    <w:rsid w:val="000D4C46"/>
    <w:rsid w:val="000E0C25"/>
    <w:rsid w:val="000F7B00"/>
    <w:rsid w:val="001003FB"/>
    <w:rsid w:val="0011481F"/>
    <w:rsid w:val="00117140"/>
    <w:rsid w:val="001204CC"/>
    <w:rsid w:val="00123202"/>
    <w:rsid w:val="00123DDA"/>
    <w:rsid w:val="001341D2"/>
    <w:rsid w:val="0014408C"/>
    <w:rsid w:val="00182ACB"/>
    <w:rsid w:val="001A3CF9"/>
    <w:rsid w:val="001A6A9B"/>
    <w:rsid w:val="001C353D"/>
    <w:rsid w:val="001C5509"/>
    <w:rsid w:val="001E40DC"/>
    <w:rsid w:val="001E4356"/>
    <w:rsid w:val="001F428D"/>
    <w:rsid w:val="001F70E6"/>
    <w:rsid w:val="00210186"/>
    <w:rsid w:val="00210D62"/>
    <w:rsid w:val="002243B1"/>
    <w:rsid w:val="00237DBC"/>
    <w:rsid w:val="00245A7C"/>
    <w:rsid w:val="00264142"/>
    <w:rsid w:val="002721FD"/>
    <w:rsid w:val="00286D47"/>
    <w:rsid w:val="002A45F4"/>
    <w:rsid w:val="002C1B24"/>
    <w:rsid w:val="00301064"/>
    <w:rsid w:val="00305D56"/>
    <w:rsid w:val="00317D5A"/>
    <w:rsid w:val="003314CE"/>
    <w:rsid w:val="00341D23"/>
    <w:rsid w:val="00343392"/>
    <w:rsid w:val="003449DE"/>
    <w:rsid w:val="003740F3"/>
    <w:rsid w:val="00386772"/>
    <w:rsid w:val="00387C16"/>
    <w:rsid w:val="003A1B7E"/>
    <w:rsid w:val="003C1C2C"/>
    <w:rsid w:val="003C2103"/>
    <w:rsid w:val="003D0AD8"/>
    <w:rsid w:val="003E1E19"/>
    <w:rsid w:val="003E394D"/>
    <w:rsid w:val="003E659E"/>
    <w:rsid w:val="004361B4"/>
    <w:rsid w:val="00450968"/>
    <w:rsid w:val="00466248"/>
    <w:rsid w:val="00470140"/>
    <w:rsid w:val="00476C19"/>
    <w:rsid w:val="004B0F54"/>
    <w:rsid w:val="004B1CF8"/>
    <w:rsid w:val="00501162"/>
    <w:rsid w:val="005150DE"/>
    <w:rsid w:val="00521589"/>
    <w:rsid w:val="00522171"/>
    <w:rsid w:val="005252E4"/>
    <w:rsid w:val="00540097"/>
    <w:rsid w:val="00544F1F"/>
    <w:rsid w:val="00545ECD"/>
    <w:rsid w:val="00561CB8"/>
    <w:rsid w:val="005A569C"/>
    <w:rsid w:val="005C0338"/>
    <w:rsid w:val="005C5C1D"/>
    <w:rsid w:val="005E6C92"/>
    <w:rsid w:val="005F5EF1"/>
    <w:rsid w:val="00652B36"/>
    <w:rsid w:val="0065437A"/>
    <w:rsid w:val="00654B9A"/>
    <w:rsid w:val="0066489D"/>
    <w:rsid w:val="006B18AC"/>
    <w:rsid w:val="006B3EC6"/>
    <w:rsid w:val="006C6AB7"/>
    <w:rsid w:val="006D09D3"/>
    <w:rsid w:val="006F4599"/>
    <w:rsid w:val="00750E21"/>
    <w:rsid w:val="00775022"/>
    <w:rsid w:val="00777718"/>
    <w:rsid w:val="00780B42"/>
    <w:rsid w:val="00781D1D"/>
    <w:rsid w:val="00783C23"/>
    <w:rsid w:val="0079626B"/>
    <w:rsid w:val="007A061F"/>
    <w:rsid w:val="007B162B"/>
    <w:rsid w:val="007C5AA1"/>
    <w:rsid w:val="007E1314"/>
    <w:rsid w:val="0080024A"/>
    <w:rsid w:val="0081431E"/>
    <w:rsid w:val="0085385B"/>
    <w:rsid w:val="00857D6F"/>
    <w:rsid w:val="00887C89"/>
    <w:rsid w:val="008A6993"/>
    <w:rsid w:val="008B27C9"/>
    <w:rsid w:val="008D1F8A"/>
    <w:rsid w:val="008D74E0"/>
    <w:rsid w:val="00902FAB"/>
    <w:rsid w:val="009032D9"/>
    <w:rsid w:val="00913327"/>
    <w:rsid w:val="00953938"/>
    <w:rsid w:val="00954CD6"/>
    <w:rsid w:val="00970A84"/>
    <w:rsid w:val="00992AA9"/>
    <w:rsid w:val="009A405A"/>
    <w:rsid w:val="009B7347"/>
    <w:rsid w:val="009D237E"/>
    <w:rsid w:val="009F6A6D"/>
    <w:rsid w:val="00A45D14"/>
    <w:rsid w:val="00A56F15"/>
    <w:rsid w:val="00A6036A"/>
    <w:rsid w:val="00A614A0"/>
    <w:rsid w:val="00A83383"/>
    <w:rsid w:val="00AA7BC7"/>
    <w:rsid w:val="00AE6EEA"/>
    <w:rsid w:val="00B30B22"/>
    <w:rsid w:val="00B56761"/>
    <w:rsid w:val="00B624E9"/>
    <w:rsid w:val="00B70A4F"/>
    <w:rsid w:val="00B82688"/>
    <w:rsid w:val="00B83D24"/>
    <w:rsid w:val="00B849F2"/>
    <w:rsid w:val="00B90B17"/>
    <w:rsid w:val="00BA3378"/>
    <w:rsid w:val="00BA339F"/>
    <w:rsid w:val="00BC28C7"/>
    <w:rsid w:val="00BC5CE2"/>
    <w:rsid w:val="00C011F4"/>
    <w:rsid w:val="00C03316"/>
    <w:rsid w:val="00C04B1B"/>
    <w:rsid w:val="00C144B2"/>
    <w:rsid w:val="00C2001C"/>
    <w:rsid w:val="00C30260"/>
    <w:rsid w:val="00C45A19"/>
    <w:rsid w:val="00C57369"/>
    <w:rsid w:val="00C764BB"/>
    <w:rsid w:val="00C907FB"/>
    <w:rsid w:val="00C97098"/>
    <w:rsid w:val="00CA3DEE"/>
    <w:rsid w:val="00CB0AD4"/>
    <w:rsid w:val="00CC4BE8"/>
    <w:rsid w:val="00CC75CC"/>
    <w:rsid w:val="00CC7C6A"/>
    <w:rsid w:val="00CD16A2"/>
    <w:rsid w:val="00D21DB6"/>
    <w:rsid w:val="00D42384"/>
    <w:rsid w:val="00D619A5"/>
    <w:rsid w:val="00D6376D"/>
    <w:rsid w:val="00DA08DF"/>
    <w:rsid w:val="00DA1708"/>
    <w:rsid w:val="00DA40A8"/>
    <w:rsid w:val="00DC427F"/>
    <w:rsid w:val="00DE38B8"/>
    <w:rsid w:val="00DE5E2F"/>
    <w:rsid w:val="00E10F79"/>
    <w:rsid w:val="00E173C9"/>
    <w:rsid w:val="00E225EE"/>
    <w:rsid w:val="00E24981"/>
    <w:rsid w:val="00E34781"/>
    <w:rsid w:val="00E50723"/>
    <w:rsid w:val="00E57844"/>
    <w:rsid w:val="00E6492F"/>
    <w:rsid w:val="00E7592F"/>
    <w:rsid w:val="00EA281F"/>
    <w:rsid w:val="00EB31FB"/>
    <w:rsid w:val="00EE0609"/>
    <w:rsid w:val="00EF2986"/>
    <w:rsid w:val="00EF6DB1"/>
    <w:rsid w:val="00F313D1"/>
    <w:rsid w:val="00F34D39"/>
    <w:rsid w:val="00F505BB"/>
    <w:rsid w:val="00F507B6"/>
    <w:rsid w:val="00F67B7B"/>
    <w:rsid w:val="00FA55FB"/>
    <w:rsid w:val="00FB4912"/>
    <w:rsid w:val="00FC3854"/>
    <w:rsid w:val="00FD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7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KKGjilan</cp:lastModifiedBy>
  <cp:revision>68</cp:revision>
  <cp:lastPrinted>2014-04-08T09:39:00Z</cp:lastPrinted>
  <dcterms:created xsi:type="dcterms:W3CDTF">2013-02-04T09:37:00Z</dcterms:created>
  <dcterms:modified xsi:type="dcterms:W3CDTF">2014-04-13T09:16:00Z</dcterms:modified>
</cp:coreProperties>
</file>