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3D0AD8" w:rsidRDefault="003D0AD8" w:rsidP="006D3C26">
      <w:pPr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CA2549">
        <w:rPr>
          <w:b/>
          <w:bCs/>
          <w:color w:val="FF0000"/>
          <w:sz w:val="24"/>
          <w:szCs w:val="24"/>
        </w:rPr>
        <w:t>0</w:t>
      </w:r>
      <w:r w:rsidR="00CA080B">
        <w:rPr>
          <w:b/>
          <w:bCs/>
          <w:color w:val="FF0000"/>
          <w:sz w:val="24"/>
          <w:szCs w:val="24"/>
        </w:rPr>
        <w:t>5</w:t>
      </w:r>
      <w:r w:rsidR="00071407">
        <w:rPr>
          <w:b/>
          <w:bCs/>
          <w:color w:val="FF0000"/>
          <w:sz w:val="24"/>
          <w:szCs w:val="24"/>
        </w:rPr>
        <w:t>/08</w:t>
      </w:r>
      <w:r w:rsidR="00C0109A">
        <w:rPr>
          <w:b/>
          <w:bCs/>
          <w:color w:val="FF0000"/>
          <w:sz w:val="24"/>
          <w:szCs w:val="24"/>
        </w:rPr>
        <w:t>/</w:t>
      </w:r>
      <w:r w:rsidR="00F66E7C" w:rsidRPr="00F66E7C">
        <w:rPr>
          <w:b/>
          <w:bCs/>
          <w:color w:val="FF0000"/>
          <w:sz w:val="24"/>
          <w:szCs w:val="24"/>
        </w:rPr>
        <w:t>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F66E7C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F66E7C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071407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CA080B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1341D2">
              <w:rPr>
                <w:b/>
                <w:sz w:val="24"/>
                <w:szCs w:val="24"/>
              </w:rPr>
              <w:t>Nazmi Halili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842765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F66E7C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842765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047CE1">
      <w:pPr>
        <w:rPr>
          <w:b/>
          <w:bCs/>
          <w:sz w:val="24"/>
          <w:szCs w:val="24"/>
        </w:rPr>
      </w:pPr>
    </w:p>
    <w:p w:rsidR="005252E4" w:rsidRPr="003D2590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424E99" w:rsidP="0007140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kanalizimit </w:t>
            </w:r>
            <w:r w:rsidR="00CA080B">
              <w:rPr>
                <w:b/>
                <w:bCs/>
                <w:i/>
                <w:color w:val="FF0000"/>
                <w:sz w:val="28"/>
                <w:szCs w:val="28"/>
              </w:rPr>
              <w:t>në fshatin Bresalc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3D2590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2765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42765">
              <w:rPr>
                <w:b/>
                <w:bCs/>
                <w:sz w:val="24"/>
                <w:szCs w:val="24"/>
              </w:rPr>
            </w:r>
            <w:r w:rsidR="0084276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42765">
              <w:rPr>
                <w:b/>
                <w:bCs/>
                <w:sz w:val="24"/>
                <w:szCs w:val="24"/>
              </w:rPr>
            </w:r>
            <w:r w:rsidR="0084276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CA080B" w:rsidP="00047CE1">
            <w:pPr>
              <w:rPr>
                <w:b/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kanalizimit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në fshatin Bresalc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66E7C">
        <w:trPr>
          <w:trHeight w:val="97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CA080B" w:rsidP="00E37D7E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kanalizimit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në fshatin Bresalc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3D2590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2765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71" w:rsidRDefault="00FF327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71407" w:rsidRDefault="00CA080B" w:rsidP="00F66E7C">
                  <w:pPr>
                    <w:overflowPunct/>
                  </w:pPr>
                  <w:r w:rsidRPr="00621F7C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 xml:space="preserve">Rregullimi i kanalizimit 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në fshatin Bresalc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FA0EC5" w:rsidRDefault="003D2590" w:rsidP="003D2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Sasia dhe fushëveprimi  janë jan caktuar në paramasen dhe parallogarin që është pjesë e dosjes së tenderit.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2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842765">
                    <w:fldChar w:fldCharType="separate"/>
                  </w:r>
                  <w:r w:rsidRPr="00E173C9">
                    <w:fldChar w:fldCharType="end"/>
                  </w:r>
                  <w:bookmarkEnd w:id="2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3D2590">
              <w:rPr>
                <w:sz w:val="24"/>
                <w:szCs w:val="24"/>
              </w:rPr>
              <w:t xml:space="preserve"> të vlerës së kontratës për kompanin fituese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3D2590" w:rsidP="003D2590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842765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3D2590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A1" w:rsidRDefault="002E69A1" w:rsidP="00E173C9">
            <w:pPr>
              <w:rPr>
                <w:b/>
                <w:bCs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B201DC" w:rsidRDefault="00B201DC" w:rsidP="00E173C9">
            <w:pPr>
              <w:rPr>
                <w:b/>
                <w:bCs/>
                <w:sz w:val="24"/>
                <w:szCs w:val="24"/>
              </w:rPr>
            </w:pPr>
          </w:p>
          <w:p w:rsidR="00B201DC" w:rsidRPr="00747196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201DC" w:rsidRPr="000E7CE6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 nga gjykata ekonomike se OE nuk është i dënuar sipas nenit 65 të LPP apo ndaj OE nuk është  ngritur ndonjë çështje gjyqësore,</w:t>
            </w:r>
          </w:p>
          <w:p w:rsidR="00B201DC" w:rsidRPr="00875B5B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B201DC" w:rsidRPr="00B201DC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071407">
              <w:rPr>
                <w:rFonts w:ascii="Arial" w:hAnsi="Arial" w:cs="Arial"/>
                <w:bCs/>
                <w:sz w:val="22"/>
                <w:szCs w:val="22"/>
              </w:rPr>
              <w:t>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</w:t>
            </w:r>
          </w:p>
          <w:p w:rsidR="00B201DC" w:rsidRPr="00285BC1" w:rsidRDefault="00B201DC" w:rsidP="00E37D7E">
            <w:pPr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B201DC" w:rsidRDefault="00B201DC" w:rsidP="00B201DC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201DC" w:rsidRPr="00747196" w:rsidRDefault="00B201DC" w:rsidP="00B201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 e nënshkruar dhe vulosur,</w:t>
            </w:r>
          </w:p>
          <w:p w:rsidR="00B201DC" w:rsidRPr="002A45F4" w:rsidRDefault="00B201DC" w:rsidP="00B201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nga gjykata ekonomike (jo me te vjetër se tre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B201DC" w:rsidRPr="00875B5B" w:rsidRDefault="00B201DC" w:rsidP="00B201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B201DC" w:rsidRPr="00875B5B" w:rsidRDefault="00B201DC" w:rsidP="00B201DC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Vërtetim mb</w:t>
            </w:r>
            <w:r w:rsidR="00071407">
              <w:rPr>
                <w:rFonts w:ascii="Arial" w:hAnsi="Arial" w:cs="Arial"/>
                <w:bCs/>
                <w:sz w:val="22"/>
                <w:szCs w:val="22"/>
              </w:rPr>
              <w:t>i taksen Komunale për gjashtëmiujorin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047CE1" w:rsidRPr="005F5EF1" w:rsidRDefault="00047CE1" w:rsidP="00E37D7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5380A" w:rsidRDefault="0080024A" w:rsidP="00E37D7E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1758D5" w:rsidRDefault="00FF3271" w:rsidP="001758D5">
            <w:pPr>
              <w:ind w:left="730" w:hanging="36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  <w:p w:rsidR="001758D5" w:rsidRDefault="001758D5" w:rsidP="001758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Dëshmia e kërkuar dokumentare</w:t>
            </w:r>
          </w:p>
          <w:p w:rsidR="001758D5" w:rsidRPr="00E37D7E" w:rsidRDefault="00FF3271" w:rsidP="00E37D7E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31" w:rsidRDefault="005C743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ED240E" w:rsidRDefault="00FF3271" w:rsidP="00777718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Referencat për </w:t>
            </w:r>
            <w:r w:rsidR="00ED240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punë të ngjajshme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tri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>copë</w:t>
            </w:r>
            <w:r w:rsidR="005C7431">
              <w:rPr>
                <w:rFonts w:ascii="Arial" w:hAnsi="Arial" w:cs="Arial"/>
                <w:bCs/>
                <w:sz w:val="22"/>
                <w:szCs w:val="22"/>
              </w:rPr>
              <w:t xml:space="preserve"> për tri vitet e fundit 2012,2013,2014, ku duhet ti bashkangjitet lista e projekteve të realizuar ku qart duhet të ceket emri i projektit, nr. prokurimit si dhe vlera e projektit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:rsidR="00FF3271" w:rsidRPr="00621F7C" w:rsidRDefault="00FF3271" w:rsidP="00621F7C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Stafi i kërkuar: - një ing i dip. I n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>dërtimtarisë</w:t>
            </w:r>
            <w:r w:rsidR="00621F7C">
              <w:rPr>
                <w:rFonts w:ascii="Arial" w:hAnsi="Arial" w:cs="Arial"/>
                <w:bCs/>
                <w:sz w:val="22"/>
                <w:szCs w:val="22"/>
              </w:rPr>
              <w:t xml:space="preserve"> apo i hidroteknikës 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 xml:space="preserve"> 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 vite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master)</w:t>
            </w:r>
          </w:p>
          <w:p w:rsidR="00ED240E" w:rsidRPr="00621F7C" w:rsidRDefault="00E173C9" w:rsidP="00621F7C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1F7C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="00ED240E" w:rsidRPr="00621F7C">
              <w:rPr>
                <w:rFonts w:ascii="Arial" w:hAnsi="Arial" w:cs="Arial"/>
                <w:b/>
                <w:i/>
                <w:sz w:val="22"/>
                <w:szCs w:val="22"/>
              </w:rPr>
              <w:t>Të caktohet me shkres nga kompania.</w:t>
            </w:r>
          </w:p>
          <w:p w:rsidR="00123DDA" w:rsidRPr="00182ACB" w:rsidRDefault="00FD5A7E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F3271" w:rsidRPr="005C7431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Referencat për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punë të ngjajshme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tri 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copë – </w:t>
            </w:r>
            <w:r w:rsidR="005C7431">
              <w:rPr>
                <w:rFonts w:ascii="Arial" w:hAnsi="Arial" w:cs="Arial"/>
                <w:bCs/>
                <w:sz w:val="22"/>
                <w:szCs w:val="22"/>
              </w:rPr>
              <w:t xml:space="preserve">për tri vitet e fundit 2012,2013,2014, </w:t>
            </w:r>
            <w:r w:rsidR="005C7431" w:rsidRPr="005C7431">
              <w:rPr>
                <w:rFonts w:ascii="Arial" w:hAnsi="Arial" w:cs="Arial"/>
                <w:b/>
                <w:bCs/>
                <w:sz w:val="22"/>
                <w:szCs w:val="22"/>
              </w:rPr>
              <w:t>ku duhet ti bashkangjitet lista e projekteve të realizuar ku qart duhet të ceket emri i projektit, nr. prokurimit si dhe vlera e projektit  e cila duhet të jet origjinale e nënshkruar dhe e vulosur.</w:t>
            </w:r>
          </w:p>
          <w:p w:rsidR="00FF3271" w:rsidRPr="00FF3271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Stafi i kërkuar: - një ing i dip. I ndërtimtarisë apo i architekturës </w:t>
            </w:r>
            <w:r w:rsidR="00FF43F7">
              <w:rPr>
                <w:rFonts w:ascii="Arial" w:hAnsi="Arial" w:cs="Arial"/>
                <w:bCs/>
                <w:sz w:val="22"/>
                <w:szCs w:val="22"/>
              </w:rPr>
              <w:t>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 vite apo master)</w:t>
            </w:r>
          </w:p>
          <w:p w:rsidR="00FF3271" w:rsidRPr="00621F7C" w:rsidRDefault="00621F7C" w:rsidP="00621F7C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Diploma e ingjinierit</w:t>
            </w:r>
            <w:r w:rsidR="00FF3271" w:rsidRPr="00621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të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jetë </w:t>
            </w:r>
            <w:r w:rsidR="00FF3271" w:rsidRPr="00621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 ose kopje të notorizuar</w:t>
            </w:r>
          </w:p>
          <w:p w:rsidR="00FF3271" w:rsidRPr="00621F7C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1F7C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Pr="00621F7C">
              <w:rPr>
                <w:rFonts w:ascii="Arial" w:hAnsi="Arial" w:cs="Arial"/>
                <w:b/>
                <w:i/>
                <w:sz w:val="22"/>
                <w:szCs w:val="22"/>
              </w:rPr>
              <w:t>Të caktohet me shkres nga kompania</w:t>
            </w:r>
            <w:r w:rsidR="00D17276" w:rsidRPr="00621F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të jet origjinal i nënshkruar dhe i vulosur</w:t>
            </w:r>
          </w:p>
          <w:p w:rsidR="00FF3271" w:rsidRPr="00D17276" w:rsidRDefault="00FF3271" w:rsidP="005C7431">
            <w:pPr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  <w:r w:rsidR="00D17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276" w:rsidRPr="00D1727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E77A91" w:rsidRPr="00E10F79" w:rsidRDefault="00E77A91" w:rsidP="00A13F37">
            <w:pPr>
              <w:ind w:left="602"/>
              <w:rPr>
                <w:bCs/>
                <w:sz w:val="24"/>
                <w:szCs w:val="24"/>
              </w:rPr>
            </w:pPr>
          </w:p>
        </w:tc>
      </w:tr>
    </w:tbl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8"/>
              <w:tc>
                <w:tcPr>
                  <w:tcW w:w="840" w:type="dxa"/>
                  <w:vAlign w:val="center"/>
                </w:tcPr>
                <w:p w:rsidR="005252E4" w:rsidRPr="00FA0EC5" w:rsidRDefault="00654B9A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AC6AF9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5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42765">
                    <w:rPr>
                      <w:sz w:val="18"/>
                      <w:szCs w:val="18"/>
                    </w:rPr>
                  </w:r>
                  <w:r w:rsidR="00842765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AC6AF9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C7431" w:rsidRDefault="005C7431" w:rsidP="00182ACB">
            <w:pPr>
              <w:rPr>
                <w:b/>
                <w:sz w:val="28"/>
                <w:szCs w:val="28"/>
              </w:rPr>
            </w:pPr>
            <w:r w:rsidRPr="005C7431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</w:rPr>
              <w:instrText xml:space="preserve"> FORMCHECKBOX </w:instrText>
            </w:r>
            <w:r w:rsidR="00842765">
              <w:rPr>
                <w:sz w:val="28"/>
                <w:szCs w:val="28"/>
              </w:rPr>
            </w:r>
            <w:r w:rsidR="00842765">
              <w:rPr>
                <w:sz w:val="28"/>
                <w:szCs w:val="28"/>
              </w:rPr>
              <w:fldChar w:fldCharType="separate"/>
            </w:r>
            <w:r w:rsidRPr="005C7431">
              <w:rPr>
                <w:sz w:val="28"/>
                <w:szCs w:val="28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C7431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5C7431">
              <w:rPr>
                <w:sz w:val="28"/>
                <w:szCs w:val="28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  <w:u w:val="single"/>
              </w:rPr>
              <w:instrText xml:space="preserve"> FORMCHECKBOX </w:instrText>
            </w:r>
            <w:r w:rsidR="00842765">
              <w:rPr>
                <w:sz w:val="28"/>
                <w:szCs w:val="28"/>
                <w:u w:val="single"/>
              </w:rPr>
            </w:r>
            <w:r w:rsidR="00842765">
              <w:rPr>
                <w:sz w:val="28"/>
                <w:szCs w:val="28"/>
                <w:u w:val="single"/>
              </w:rPr>
              <w:fldChar w:fldCharType="separate"/>
            </w:r>
            <w:r w:rsidRPr="005C7431">
              <w:rPr>
                <w:sz w:val="28"/>
                <w:szCs w:val="28"/>
                <w:u w:val="single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  <w:u w:val="single"/>
              </w:rPr>
              <w:t xml:space="preserve">   Çmimi më i u</w:t>
            </w:r>
            <w:r w:rsidR="005252E4" w:rsidRPr="00FB0124">
              <w:rPr>
                <w:b/>
                <w:sz w:val="28"/>
                <w:szCs w:val="28"/>
                <w:u w:val="single"/>
              </w:rPr>
              <w:t>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8"/>
            <w:r w:rsidR="005252E4" w:rsidRPr="003D0AD8">
              <w:rPr>
                <w:b/>
              </w:rPr>
              <w:instrText xml:space="preserve"> FORMCHECKBOX </w:instrText>
            </w:r>
            <w:r w:rsidR="00842765">
              <w:rPr>
                <w:b/>
              </w:rPr>
            </w:r>
            <w:r w:rsidR="00842765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27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D17276" w:rsidRDefault="00D17276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CA080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1A2B3D">
              <w:rPr>
                <w:b/>
                <w:color w:val="FF0000"/>
                <w:sz w:val="28"/>
                <w:szCs w:val="28"/>
              </w:rPr>
              <w:t xml:space="preserve"> 2</w:t>
            </w:r>
            <w:r w:rsidR="00CA080B">
              <w:rPr>
                <w:b/>
                <w:color w:val="FF0000"/>
                <w:sz w:val="28"/>
                <w:szCs w:val="28"/>
              </w:rPr>
              <w:t>1</w:t>
            </w:r>
            <w:r w:rsidR="00071407">
              <w:rPr>
                <w:b/>
                <w:color w:val="FF0000"/>
                <w:sz w:val="28"/>
                <w:szCs w:val="28"/>
              </w:rPr>
              <w:t>/08</w:t>
            </w:r>
            <w:r w:rsidR="005C7431">
              <w:rPr>
                <w:b/>
                <w:color w:val="FF0000"/>
                <w:sz w:val="28"/>
                <w:szCs w:val="28"/>
              </w:rPr>
              <w:t>/2015 ora 16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2E69A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CA080B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1A2B3D">
              <w:rPr>
                <w:b/>
                <w:i/>
                <w:color w:val="FF0000"/>
                <w:sz w:val="28"/>
                <w:szCs w:val="28"/>
              </w:rPr>
              <w:t>2</w:t>
            </w:r>
            <w:r w:rsidR="00CA080B">
              <w:rPr>
                <w:b/>
                <w:i/>
                <w:color w:val="FF0000"/>
                <w:sz w:val="28"/>
                <w:szCs w:val="28"/>
              </w:rPr>
              <w:t>6</w:t>
            </w:r>
            <w:r w:rsidR="00071407">
              <w:rPr>
                <w:b/>
                <w:i/>
                <w:color w:val="FF0000"/>
                <w:sz w:val="28"/>
                <w:szCs w:val="28"/>
              </w:rPr>
              <w:t>/08</w:t>
            </w:r>
            <w:r w:rsidR="005C7431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5C7431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42765">
              <w:rPr>
                <w:sz w:val="24"/>
                <w:szCs w:val="24"/>
              </w:rPr>
            </w:r>
            <w:r w:rsidR="0084276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0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C7431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C7431">
              <w:instrText xml:space="preserve"> FORMCHECKBOX </w:instrText>
            </w:r>
            <w:r w:rsidR="00842765">
              <w:fldChar w:fldCharType="separate"/>
            </w:r>
            <w:r w:rsidR="005C7431">
              <w:fldChar w:fldCharType="end"/>
            </w:r>
            <w:r w:rsidR="005C7431"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6B2F22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1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42765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CA080B">
              <w:rPr>
                <w:b/>
                <w:color w:val="FF0000"/>
                <w:sz w:val="32"/>
                <w:szCs w:val="32"/>
              </w:rPr>
              <w:t>3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5C7431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E37D7E">
              <w:rPr>
                <w:b/>
                <w:sz w:val="24"/>
                <w:szCs w:val="24"/>
              </w:rPr>
              <w:t>90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C7431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E37D7E">
              <w:rPr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E37D7E">
              <w:rPr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CA080B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A2B3D">
              <w:rPr>
                <w:b/>
                <w:i/>
                <w:color w:val="FF0000"/>
                <w:sz w:val="28"/>
                <w:szCs w:val="28"/>
              </w:rPr>
              <w:t xml:space="preserve"> 2</w:t>
            </w:r>
            <w:r w:rsidR="00CA080B">
              <w:rPr>
                <w:b/>
                <w:i/>
                <w:color w:val="FF0000"/>
                <w:sz w:val="28"/>
                <w:szCs w:val="28"/>
              </w:rPr>
              <w:t>6</w:t>
            </w:r>
            <w:bookmarkStart w:id="32" w:name="_GoBack"/>
            <w:bookmarkEnd w:id="32"/>
            <w:r w:rsidR="00071407">
              <w:rPr>
                <w:b/>
                <w:i/>
                <w:color w:val="FF0000"/>
                <w:sz w:val="28"/>
                <w:szCs w:val="28"/>
              </w:rPr>
              <w:t>/08</w:t>
            </w:r>
            <w:r w:rsidR="005C7431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C7431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65" w:rsidRDefault="00842765" w:rsidP="001204CC">
      <w:r>
        <w:separator/>
      </w:r>
    </w:p>
  </w:endnote>
  <w:endnote w:type="continuationSeparator" w:id="0">
    <w:p w:rsidR="00842765" w:rsidRDefault="00842765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DC" w:rsidRDefault="00B201DC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080B">
      <w:rPr>
        <w:rStyle w:val="PageNumber"/>
        <w:noProof/>
      </w:rPr>
      <w:t>4</w:t>
    </w:r>
    <w:r>
      <w:rPr>
        <w:rStyle w:val="PageNumber"/>
      </w:rPr>
      <w:fldChar w:fldCharType="end"/>
    </w:r>
  </w:p>
  <w:p w:rsidR="00B201DC" w:rsidRPr="00AB38F6" w:rsidRDefault="00B201DC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201DC" w:rsidRPr="00AB38F6" w:rsidRDefault="00B201DC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65" w:rsidRDefault="00842765" w:rsidP="001204CC">
      <w:r>
        <w:separator/>
      </w:r>
    </w:p>
  </w:footnote>
  <w:footnote w:type="continuationSeparator" w:id="0">
    <w:p w:rsidR="00842765" w:rsidRDefault="00842765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DC" w:rsidRDefault="00B201DC">
    <w:pPr>
      <w:tabs>
        <w:tab w:val="center" w:pos="4320"/>
        <w:tab w:val="right" w:pos="8640"/>
      </w:tabs>
      <w:rPr>
        <w:kern w:val="0"/>
      </w:rPr>
    </w:pPr>
  </w:p>
  <w:p w:rsidR="00B201DC" w:rsidRDefault="00B201D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743C7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4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47CE1"/>
    <w:rsid w:val="000626FD"/>
    <w:rsid w:val="00071407"/>
    <w:rsid w:val="00072277"/>
    <w:rsid w:val="00082DB3"/>
    <w:rsid w:val="000867D8"/>
    <w:rsid w:val="0009663A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758D5"/>
    <w:rsid w:val="00182ACB"/>
    <w:rsid w:val="00183355"/>
    <w:rsid w:val="0019195B"/>
    <w:rsid w:val="001A2B3D"/>
    <w:rsid w:val="001A3CF9"/>
    <w:rsid w:val="001A4964"/>
    <w:rsid w:val="001A6A9B"/>
    <w:rsid w:val="001B35B6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2E69A1"/>
    <w:rsid w:val="00301064"/>
    <w:rsid w:val="00305D56"/>
    <w:rsid w:val="00317D5A"/>
    <w:rsid w:val="0032470C"/>
    <w:rsid w:val="003314CE"/>
    <w:rsid w:val="00336EF0"/>
    <w:rsid w:val="00341D23"/>
    <w:rsid w:val="00343392"/>
    <w:rsid w:val="003449DE"/>
    <w:rsid w:val="003740F3"/>
    <w:rsid w:val="00386772"/>
    <w:rsid w:val="00387C16"/>
    <w:rsid w:val="00396048"/>
    <w:rsid w:val="003A1B7E"/>
    <w:rsid w:val="003C1C2C"/>
    <w:rsid w:val="003C2103"/>
    <w:rsid w:val="003C46AF"/>
    <w:rsid w:val="003D0AD8"/>
    <w:rsid w:val="003D2590"/>
    <w:rsid w:val="003E1E19"/>
    <w:rsid w:val="003E394D"/>
    <w:rsid w:val="003E659E"/>
    <w:rsid w:val="00416AE0"/>
    <w:rsid w:val="00424E99"/>
    <w:rsid w:val="004361B4"/>
    <w:rsid w:val="00450968"/>
    <w:rsid w:val="00466248"/>
    <w:rsid w:val="00476C19"/>
    <w:rsid w:val="004B0F54"/>
    <w:rsid w:val="004B1CF8"/>
    <w:rsid w:val="004B7561"/>
    <w:rsid w:val="004F1731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C7431"/>
    <w:rsid w:val="005E6C92"/>
    <w:rsid w:val="005F5EF1"/>
    <w:rsid w:val="00621F7C"/>
    <w:rsid w:val="00652B36"/>
    <w:rsid w:val="0065437A"/>
    <w:rsid w:val="00654B9A"/>
    <w:rsid w:val="006616F7"/>
    <w:rsid w:val="0066489D"/>
    <w:rsid w:val="006B18AC"/>
    <w:rsid w:val="006B2F22"/>
    <w:rsid w:val="006B3EC6"/>
    <w:rsid w:val="006C6AB7"/>
    <w:rsid w:val="006D09D3"/>
    <w:rsid w:val="006D3C26"/>
    <w:rsid w:val="007005D2"/>
    <w:rsid w:val="00750E21"/>
    <w:rsid w:val="00753FDF"/>
    <w:rsid w:val="00775022"/>
    <w:rsid w:val="00777718"/>
    <w:rsid w:val="00780B42"/>
    <w:rsid w:val="00781D1D"/>
    <w:rsid w:val="00783C23"/>
    <w:rsid w:val="007A061F"/>
    <w:rsid w:val="007A21F8"/>
    <w:rsid w:val="007B162B"/>
    <w:rsid w:val="007B3A13"/>
    <w:rsid w:val="007C5AA1"/>
    <w:rsid w:val="007D00F0"/>
    <w:rsid w:val="007E1314"/>
    <w:rsid w:val="007E30EA"/>
    <w:rsid w:val="0080024A"/>
    <w:rsid w:val="00801486"/>
    <w:rsid w:val="00842765"/>
    <w:rsid w:val="00857D6F"/>
    <w:rsid w:val="008650FD"/>
    <w:rsid w:val="00887C89"/>
    <w:rsid w:val="008A6993"/>
    <w:rsid w:val="008B27C9"/>
    <w:rsid w:val="008B35ED"/>
    <w:rsid w:val="008B7D9D"/>
    <w:rsid w:val="008D1F8A"/>
    <w:rsid w:val="008D74E0"/>
    <w:rsid w:val="008E32BC"/>
    <w:rsid w:val="00902FAB"/>
    <w:rsid w:val="009032D9"/>
    <w:rsid w:val="00913327"/>
    <w:rsid w:val="00930500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E3789"/>
    <w:rsid w:val="009F6A6D"/>
    <w:rsid w:val="00A13F37"/>
    <w:rsid w:val="00A45D14"/>
    <w:rsid w:val="00A56F15"/>
    <w:rsid w:val="00A6036A"/>
    <w:rsid w:val="00A614A0"/>
    <w:rsid w:val="00A64622"/>
    <w:rsid w:val="00A83383"/>
    <w:rsid w:val="00A907B2"/>
    <w:rsid w:val="00AC6AF9"/>
    <w:rsid w:val="00AE6EEA"/>
    <w:rsid w:val="00AF39FE"/>
    <w:rsid w:val="00B201DC"/>
    <w:rsid w:val="00B30B22"/>
    <w:rsid w:val="00B4315E"/>
    <w:rsid w:val="00B56761"/>
    <w:rsid w:val="00B624E9"/>
    <w:rsid w:val="00B70A4F"/>
    <w:rsid w:val="00B758B6"/>
    <w:rsid w:val="00B82688"/>
    <w:rsid w:val="00B849F2"/>
    <w:rsid w:val="00B90B17"/>
    <w:rsid w:val="00BA3378"/>
    <w:rsid w:val="00BA339F"/>
    <w:rsid w:val="00BC28C7"/>
    <w:rsid w:val="00BE4B93"/>
    <w:rsid w:val="00BF18BB"/>
    <w:rsid w:val="00C0109A"/>
    <w:rsid w:val="00C011F4"/>
    <w:rsid w:val="00C03316"/>
    <w:rsid w:val="00C04B1B"/>
    <w:rsid w:val="00C144B2"/>
    <w:rsid w:val="00C2001C"/>
    <w:rsid w:val="00C30260"/>
    <w:rsid w:val="00C42615"/>
    <w:rsid w:val="00C45A19"/>
    <w:rsid w:val="00C57369"/>
    <w:rsid w:val="00C764BB"/>
    <w:rsid w:val="00C907FB"/>
    <w:rsid w:val="00C97098"/>
    <w:rsid w:val="00CA080B"/>
    <w:rsid w:val="00CA2549"/>
    <w:rsid w:val="00CA3DEE"/>
    <w:rsid w:val="00CB0AD4"/>
    <w:rsid w:val="00CC4BE8"/>
    <w:rsid w:val="00CC75CC"/>
    <w:rsid w:val="00CC7C6A"/>
    <w:rsid w:val="00CD16A2"/>
    <w:rsid w:val="00D074EE"/>
    <w:rsid w:val="00D13930"/>
    <w:rsid w:val="00D14C17"/>
    <w:rsid w:val="00D17276"/>
    <w:rsid w:val="00D21DB6"/>
    <w:rsid w:val="00D42384"/>
    <w:rsid w:val="00D619A5"/>
    <w:rsid w:val="00D6350C"/>
    <w:rsid w:val="00D6376D"/>
    <w:rsid w:val="00DA08DF"/>
    <w:rsid w:val="00DA1708"/>
    <w:rsid w:val="00DA40A8"/>
    <w:rsid w:val="00DC22C3"/>
    <w:rsid w:val="00DC24BE"/>
    <w:rsid w:val="00DC427F"/>
    <w:rsid w:val="00DE38B8"/>
    <w:rsid w:val="00DE5E2F"/>
    <w:rsid w:val="00E10F79"/>
    <w:rsid w:val="00E173C9"/>
    <w:rsid w:val="00E225EE"/>
    <w:rsid w:val="00E24981"/>
    <w:rsid w:val="00E34781"/>
    <w:rsid w:val="00E37D7E"/>
    <w:rsid w:val="00E50723"/>
    <w:rsid w:val="00E53893"/>
    <w:rsid w:val="00E551F7"/>
    <w:rsid w:val="00E6492F"/>
    <w:rsid w:val="00E7592F"/>
    <w:rsid w:val="00E77A91"/>
    <w:rsid w:val="00EA281F"/>
    <w:rsid w:val="00EB31FB"/>
    <w:rsid w:val="00EC43B9"/>
    <w:rsid w:val="00ED240E"/>
    <w:rsid w:val="00ED661C"/>
    <w:rsid w:val="00EF2986"/>
    <w:rsid w:val="00EF6DB1"/>
    <w:rsid w:val="00F313D1"/>
    <w:rsid w:val="00F34D39"/>
    <w:rsid w:val="00F505BB"/>
    <w:rsid w:val="00F507B6"/>
    <w:rsid w:val="00F54CBF"/>
    <w:rsid w:val="00F66E7C"/>
    <w:rsid w:val="00F67B7B"/>
    <w:rsid w:val="00F7588D"/>
    <w:rsid w:val="00F93545"/>
    <w:rsid w:val="00FA55FB"/>
    <w:rsid w:val="00FB4912"/>
    <w:rsid w:val="00FC3854"/>
    <w:rsid w:val="00FD3170"/>
    <w:rsid w:val="00FD5A7E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66</cp:revision>
  <cp:lastPrinted>2014-08-18T11:20:00Z</cp:lastPrinted>
  <dcterms:created xsi:type="dcterms:W3CDTF">2014-07-23T07:28:00Z</dcterms:created>
  <dcterms:modified xsi:type="dcterms:W3CDTF">2015-08-05T13:05:00Z</dcterms:modified>
</cp:coreProperties>
</file>