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B6" w:rsidRDefault="00D74CB6" w:rsidP="00D74CB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>
        <w:rPr>
          <w:noProof/>
        </w:rPr>
        <w:drawing>
          <wp:inline distT="0" distB="0" distL="0" distR="0" wp14:anchorId="61C0871C" wp14:editId="1859978B">
            <wp:extent cx="457200" cy="523875"/>
            <wp:effectExtent l="0" t="0" r="0" b="9525"/>
            <wp:docPr id="1" name="Picture 1" descr="Stema%20(100px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ema%20(100px)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</w:t>
      </w:r>
      <w:r>
        <w:rPr>
          <w:rFonts w:ascii="Book Antiqua" w:hAnsi="Book Antiqua"/>
        </w:rPr>
        <w:tab/>
        <w:t xml:space="preserve">                  </w:t>
      </w:r>
      <w:r>
        <w:rPr>
          <w:noProof/>
        </w:rPr>
        <w:drawing>
          <wp:inline distT="0" distB="0" distL="0" distR="0" wp14:anchorId="10F5F070" wp14:editId="4B99B4FA">
            <wp:extent cx="409575" cy="523875"/>
            <wp:effectExtent l="0" t="0" r="9525" b="9525"/>
            <wp:docPr id="2" name="Picture 2" descr="Prova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ova1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CB6" w:rsidRDefault="00D74CB6" w:rsidP="00D74C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Republika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Kosovës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Komuna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Gjilanit</w:t>
      </w:r>
      <w:proofErr w:type="spellEnd"/>
    </w:p>
    <w:p w:rsidR="00D74CB6" w:rsidRDefault="00D74CB6" w:rsidP="00D74C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Republika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Kosova</w:t>
      </w:r>
      <w:proofErr w:type="spellEnd"/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Opština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Gnjilane</w:t>
      </w:r>
      <w:proofErr w:type="spellEnd"/>
    </w:p>
    <w:p w:rsidR="00D74CB6" w:rsidRDefault="00D74CB6" w:rsidP="00D74CB6">
      <w:pPr>
        <w:rPr>
          <w:sz w:val="28"/>
          <w:szCs w:val="28"/>
        </w:rPr>
      </w:pPr>
      <w:r>
        <w:rPr>
          <w:sz w:val="28"/>
          <w:szCs w:val="28"/>
        </w:rPr>
        <w:t xml:space="preserve">Republic of Kosovo                                                                   Municipal </w:t>
      </w:r>
      <w:proofErr w:type="spellStart"/>
      <w:r>
        <w:rPr>
          <w:sz w:val="28"/>
          <w:szCs w:val="28"/>
        </w:rPr>
        <w:t>Gjilan</w:t>
      </w:r>
      <w:proofErr w:type="spellEnd"/>
    </w:p>
    <w:p w:rsidR="00D74CB6" w:rsidRDefault="00D74CB6" w:rsidP="00D74CB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  <w:szCs w:val="28"/>
        </w:rPr>
        <w:t>Gilan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Belediyesi</w:t>
      </w:r>
      <w:proofErr w:type="spellEnd"/>
      <w:r>
        <w:rPr>
          <w:sz w:val="28"/>
          <w:szCs w:val="28"/>
        </w:rPr>
        <w:t xml:space="preserve">          </w:t>
      </w:r>
    </w:p>
    <w:p w:rsidR="00D74CB6" w:rsidRDefault="00D74CB6" w:rsidP="00D74CB6">
      <w:pPr>
        <w:jc w:val="center"/>
        <w:rPr>
          <w:sz w:val="28"/>
          <w:szCs w:val="28"/>
          <w:lang w:val="pt-BR"/>
        </w:rPr>
      </w:pPr>
      <w:bookmarkStart w:id="0" w:name="_GoBack"/>
      <w:r>
        <w:rPr>
          <w:lang w:val="pt-BR"/>
        </w:rPr>
        <w:t>D  R  E  J  T  O  R  I  A    P Ë R    B  U  J  Q  Ë  S  I     D H E    P  Y  L  L  T  A  R</w:t>
      </w:r>
      <w:r>
        <w:rPr>
          <w:sz w:val="28"/>
          <w:szCs w:val="28"/>
          <w:lang w:val="pt-BR"/>
        </w:rPr>
        <w:t xml:space="preserve"> I</w:t>
      </w:r>
    </w:p>
    <w:bookmarkEnd w:id="0"/>
    <w:p w:rsidR="00D74CB6" w:rsidRDefault="00D74CB6" w:rsidP="00D74CB6">
      <w:pPr>
        <w:rPr>
          <w:sz w:val="28"/>
          <w:szCs w:val="28"/>
        </w:rPr>
      </w:pPr>
    </w:p>
    <w:p w:rsidR="00D74CB6" w:rsidRDefault="00D74CB6" w:rsidP="00D74CB6">
      <w:pPr>
        <w:rPr>
          <w:sz w:val="28"/>
          <w:szCs w:val="28"/>
        </w:rPr>
      </w:pPr>
    </w:p>
    <w:tbl>
      <w:tblPr>
        <w:tblW w:w="9555" w:type="dxa"/>
        <w:tblLook w:val="04A0" w:firstRow="1" w:lastRow="0" w:firstColumn="1" w:lastColumn="0" w:noHBand="0" w:noVBand="1"/>
      </w:tblPr>
      <w:tblGrid>
        <w:gridCol w:w="1949"/>
        <w:gridCol w:w="586"/>
        <w:gridCol w:w="1581"/>
        <w:gridCol w:w="898"/>
        <w:gridCol w:w="1070"/>
        <w:gridCol w:w="3471"/>
      </w:tblGrid>
      <w:tr w:rsidR="00D74CB6" w:rsidTr="00D74CB6">
        <w:trPr>
          <w:trHeight w:val="30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REFERENC-Ë:</w:t>
            </w:r>
          </w:p>
        </w:tc>
        <w:tc>
          <w:tcPr>
            <w:tcW w:w="5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74CB6" w:rsidTr="00D74CB6">
        <w:trPr>
          <w:trHeight w:val="37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PËR/ZA/TO:</w:t>
            </w:r>
          </w:p>
        </w:tc>
        <w:tc>
          <w:tcPr>
            <w:tcW w:w="5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CB6" w:rsidRDefault="00D74CB6">
            <w:pPr>
              <w:spacing w:line="276" w:lineRule="auto"/>
              <w:ind w:left="100" w:right="10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Kryetarin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bCs/>
                <w:sz w:val="28"/>
                <w:szCs w:val="28"/>
              </w:rPr>
              <w:t>Komunës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z.Lutfi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HAZIRI</w:t>
            </w:r>
          </w:p>
        </w:tc>
      </w:tr>
      <w:tr w:rsidR="00D74CB6" w:rsidTr="00D74CB6">
        <w:trPr>
          <w:trHeight w:val="27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CC:</w:t>
            </w:r>
          </w:p>
        </w:tc>
        <w:tc>
          <w:tcPr>
            <w:tcW w:w="5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CB6" w:rsidRDefault="00D74CB6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74CB6" w:rsidTr="00D74CB6">
        <w:trPr>
          <w:trHeight w:val="48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NGA/OD/FROM:</w:t>
            </w:r>
          </w:p>
        </w:tc>
        <w:tc>
          <w:tcPr>
            <w:tcW w:w="5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CB6" w:rsidRDefault="00D74CB6">
            <w:pPr>
              <w:pStyle w:val="normal0020table1"/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ormal0020tablechar"/>
                <w:b/>
                <w:bCs/>
                <w:sz w:val="28"/>
                <w:szCs w:val="28"/>
              </w:rPr>
              <w:t xml:space="preserve">Ramiz </w:t>
            </w:r>
            <w:proofErr w:type="spellStart"/>
            <w:r>
              <w:rPr>
                <w:rStyle w:val="normal0020tablechar"/>
                <w:b/>
                <w:bCs/>
                <w:sz w:val="28"/>
                <w:szCs w:val="28"/>
              </w:rPr>
              <w:t>Ramadani</w:t>
            </w:r>
            <w:proofErr w:type="spellEnd"/>
            <w:r>
              <w:rPr>
                <w:rStyle w:val="normal0020tablechar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Style w:val="normal0020tablechar"/>
                <w:b/>
                <w:bCs/>
                <w:sz w:val="28"/>
                <w:szCs w:val="28"/>
              </w:rPr>
              <w:t>Drejtor</w:t>
            </w:r>
            <w:proofErr w:type="spellEnd"/>
            <w:r>
              <w:rPr>
                <w:rStyle w:val="normal0020tablechar"/>
                <w:b/>
                <w:bCs/>
                <w:sz w:val="28"/>
                <w:szCs w:val="28"/>
              </w:rPr>
              <w:t xml:space="preserve"> i DBP</w:t>
            </w:r>
          </w:p>
        </w:tc>
      </w:tr>
      <w:tr w:rsidR="00D74CB6" w:rsidTr="00D74CB6">
        <w:trPr>
          <w:trHeight w:val="39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TEMA/SUBJEKAT/ SUBJECT:</w:t>
            </w:r>
          </w:p>
        </w:tc>
        <w:tc>
          <w:tcPr>
            <w:tcW w:w="5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CB6" w:rsidRDefault="00D74CB6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D74CB6" w:rsidRDefault="00D74CB6">
            <w:pPr>
              <w:spacing w:line="276" w:lineRule="auto"/>
              <w:rPr>
                <w:sz w:val="28"/>
                <w:szCs w:val="28"/>
                <w:lang w:val="sq-AL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sq-AL"/>
              </w:rPr>
              <w:t>Rapoti  i punës,  Janar - qershor 2016</w:t>
            </w:r>
          </w:p>
        </w:tc>
      </w:tr>
      <w:tr w:rsidR="00D74CB6" w:rsidTr="00D74CB6"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Nr.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Zyrës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Br.Kancelarije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No: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CB6" w:rsidRDefault="00D74CB6">
            <w:pPr>
              <w:spacing w:line="276" w:lineRule="auto"/>
              <w:ind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Lokacioni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Lokacija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Extencion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Data:</w:t>
            </w:r>
          </w:p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Datum:</w:t>
            </w:r>
          </w:p>
          <w:p w:rsidR="00D74CB6" w:rsidRDefault="00D74CB6">
            <w:pPr>
              <w:spacing w:line="276" w:lineRule="auto"/>
              <w:ind w:left="100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CB6" w:rsidRDefault="00D74CB6">
            <w:pPr>
              <w:spacing w:line="276" w:lineRule="auto"/>
              <w:ind w:left="100" w:right="1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06.07.2016</w:t>
            </w:r>
          </w:p>
        </w:tc>
      </w:tr>
    </w:tbl>
    <w:p w:rsidR="00D74CB6" w:rsidRDefault="00D74CB6" w:rsidP="00D74CB6">
      <w:pPr>
        <w:jc w:val="center"/>
        <w:rPr>
          <w:sz w:val="32"/>
          <w:szCs w:val="32"/>
        </w:rPr>
      </w:pPr>
    </w:p>
    <w:p w:rsidR="00D74CB6" w:rsidRDefault="00D74CB6" w:rsidP="00D74CB6">
      <w:pPr>
        <w:jc w:val="center"/>
        <w:rPr>
          <w:sz w:val="32"/>
          <w:szCs w:val="32"/>
        </w:rPr>
      </w:pPr>
    </w:p>
    <w:p w:rsidR="00D74CB6" w:rsidRDefault="00D74CB6" w:rsidP="00D74CB6">
      <w:pPr>
        <w:jc w:val="both"/>
        <w:rPr>
          <w:sz w:val="32"/>
          <w:szCs w:val="32"/>
        </w:rPr>
      </w:pPr>
    </w:p>
    <w:p w:rsidR="00D74CB6" w:rsidRDefault="00D74CB6" w:rsidP="00D74CB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Puna</w:t>
      </w:r>
      <w:proofErr w:type="spellEnd"/>
      <w:r>
        <w:rPr>
          <w:sz w:val="28"/>
          <w:szCs w:val="28"/>
        </w:rPr>
        <w:t xml:space="preserve"> e DBP </w:t>
      </w:r>
      <w:proofErr w:type="spellStart"/>
      <w:r>
        <w:rPr>
          <w:sz w:val="28"/>
          <w:szCs w:val="28"/>
        </w:rPr>
        <w:t>është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vjetor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punës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objektivat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planifikuara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periudhë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arritur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plotësisht</w:t>
      </w:r>
      <w:proofErr w:type="spellEnd"/>
      <w:r>
        <w:rPr>
          <w:sz w:val="28"/>
          <w:szCs w:val="28"/>
        </w:rPr>
        <w:t>.</w:t>
      </w:r>
      <w:proofErr w:type="gramEnd"/>
    </w:p>
    <w:p w:rsidR="00D74CB6" w:rsidRDefault="00D74CB6" w:rsidP="00D74CB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kuadër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shërbimeve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këshillimore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shërbimit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periudhë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trajnuar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rreth</w:t>
      </w:r>
      <w:proofErr w:type="spellEnd"/>
      <w:r>
        <w:rPr>
          <w:sz w:val="28"/>
          <w:szCs w:val="28"/>
        </w:rPr>
        <w:t xml:space="preserve"> </w:t>
      </w:r>
      <w:r w:rsidR="00333827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fermerë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gjithë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sektorët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spacing w:line="280" w:lineRule="atLeast"/>
        <w:jc w:val="both"/>
        <w:rPr>
          <w:color w:val="000000"/>
          <w:sz w:val="28"/>
        </w:rPr>
      </w:pPr>
      <w:proofErr w:type="spellStart"/>
      <w:r>
        <w:rPr>
          <w:sz w:val="28"/>
          <w:szCs w:val="28"/>
        </w:rPr>
        <w:t>Gjatë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muajit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shkurt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farmerët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njoftuar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skemën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subvencioneve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granteve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MBPZHR, </w:t>
      </w:r>
      <w:proofErr w:type="spellStart"/>
      <w:proofErr w:type="gram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nga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zyrat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tona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marrur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asistencë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grante</w:t>
      </w:r>
      <w:proofErr w:type="spellEnd"/>
      <w:r>
        <w:rPr>
          <w:sz w:val="28"/>
          <w:szCs w:val="28"/>
        </w:rPr>
        <w:t>. K</w:t>
      </w:r>
      <w:r>
        <w:rPr>
          <w:sz w:val="28"/>
          <w:szCs w:val="28"/>
          <w:lang w:val="it-IT"/>
        </w:rPr>
        <w:t xml:space="preserve">atër zyrtar të DBP të trajnuar për digjitalizim të parcelave, kanë punuar në kompletimin e dokumentacionit të nevojshëm për  aplikim të fermerëve  për subvencionet, </w:t>
      </w:r>
      <w:proofErr w:type="spellStart"/>
      <w:r>
        <w:rPr>
          <w:sz w:val="28"/>
          <w:szCs w:val="28"/>
        </w:rPr>
        <w:t>proqes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përfunduar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datën</w:t>
      </w:r>
      <w:proofErr w:type="spellEnd"/>
      <w:r>
        <w:rPr>
          <w:sz w:val="28"/>
          <w:szCs w:val="28"/>
        </w:rPr>
        <w:t xml:space="preserve"> 10.05.2016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janë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dorëzuar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AZHB 670 </w:t>
      </w:r>
      <w:proofErr w:type="spellStart"/>
      <w:r>
        <w:rPr>
          <w:color w:val="000000"/>
          <w:sz w:val="28"/>
        </w:rPr>
        <w:t>aplikacione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për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gjitha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kategorit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subvencioneve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MBPZHR.</w:t>
      </w:r>
    </w:p>
    <w:p w:rsidR="00D74CB6" w:rsidRDefault="00D74CB6" w:rsidP="00D74CB6">
      <w:pPr>
        <w:spacing w:line="280" w:lineRule="atLeast"/>
        <w:jc w:val="both"/>
        <w:rPr>
          <w:color w:val="000000"/>
          <w:sz w:val="28"/>
        </w:rPr>
      </w:pPr>
    </w:p>
    <w:p w:rsidR="00D74CB6" w:rsidRDefault="00D74CB6" w:rsidP="00D74CB6">
      <w:pPr>
        <w:spacing w:line="28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Publikimin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projektit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mjedrës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bërë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muajit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shkurt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dhe</w:t>
      </w:r>
      <w:proofErr w:type="spellEnd"/>
      <w:proofErr w:type="gramEnd"/>
      <w:r>
        <w:rPr>
          <w:sz w:val="28"/>
          <w:szCs w:val="28"/>
        </w:rPr>
        <w:t xml:space="preserve"> pas </w:t>
      </w:r>
      <w:proofErr w:type="spellStart"/>
      <w:r>
        <w:rPr>
          <w:sz w:val="28"/>
          <w:szCs w:val="28"/>
        </w:rPr>
        <w:t>shqyrtimit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aplikacioneve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fermerëve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përzgjedhur</w:t>
      </w:r>
      <w:proofErr w:type="spellEnd"/>
      <w:r>
        <w:rPr>
          <w:sz w:val="28"/>
          <w:szCs w:val="28"/>
        </w:rPr>
        <w:t xml:space="preserve"> 39 </w:t>
      </w:r>
      <w:proofErr w:type="spellStart"/>
      <w:r>
        <w:rPr>
          <w:sz w:val="28"/>
          <w:szCs w:val="28"/>
        </w:rPr>
        <w:t>përfitues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lastRenderedPageBreak/>
        <w:t>siperfaqe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prej</w:t>
      </w:r>
      <w:proofErr w:type="spellEnd"/>
      <w:r>
        <w:rPr>
          <w:sz w:val="28"/>
          <w:szCs w:val="28"/>
        </w:rPr>
        <w:t xml:space="preserve"> 10 ha. </w:t>
      </w:r>
      <w:proofErr w:type="spellStart"/>
      <w:proofErr w:type="gramStart"/>
      <w:r>
        <w:rPr>
          <w:sz w:val="28"/>
          <w:szCs w:val="28"/>
        </w:rPr>
        <w:t>Implementimi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fazës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këtij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filluar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datën</w:t>
      </w:r>
      <w:proofErr w:type="spellEnd"/>
      <w:r>
        <w:rPr>
          <w:sz w:val="28"/>
          <w:szCs w:val="28"/>
        </w:rPr>
        <w:t xml:space="preserve"> 06.04.2016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realizohet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partneritet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kompanin</w:t>
      </w:r>
      <w:proofErr w:type="spellEnd"/>
      <w:r>
        <w:rPr>
          <w:sz w:val="28"/>
          <w:szCs w:val="28"/>
        </w:rPr>
        <w:t xml:space="preserve"> Fresh Fruit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Lipjani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Faza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dytë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realizohet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vjeshtë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vlera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këtij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është</w:t>
      </w:r>
      <w:proofErr w:type="spellEnd"/>
      <w:r>
        <w:rPr>
          <w:sz w:val="28"/>
          <w:szCs w:val="28"/>
        </w:rPr>
        <w:t xml:space="preserve"> 60,000.00 €. </w:t>
      </w:r>
      <w:proofErr w:type="gramStart"/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vlerësojmë</w:t>
      </w:r>
      <w:proofErr w:type="spellEnd"/>
      <w:r>
        <w:rPr>
          <w:sz w:val="28"/>
          <w:szCs w:val="28"/>
        </w:rPr>
        <w:t xml:space="preserve"> se me </w:t>
      </w:r>
      <w:proofErr w:type="spellStart"/>
      <w:r>
        <w:rPr>
          <w:sz w:val="28"/>
          <w:szCs w:val="28"/>
        </w:rPr>
        <w:t>këtë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sigurohën</w:t>
      </w:r>
      <w:proofErr w:type="spellEnd"/>
      <w:r>
        <w:rPr>
          <w:sz w:val="28"/>
          <w:szCs w:val="28"/>
        </w:rPr>
        <w:t xml:space="preserve"> minimum 100 </w:t>
      </w:r>
      <w:proofErr w:type="spellStart"/>
      <w:r>
        <w:rPr>
          <w:sz w:val="28"/>
          <w:szCs w:val="28"/>
        </w:rPr>
        <w:t>deri</w:t>
      </w:r>
      <w:proofErr w:type="spellEnd"/>
      <w:r>
        <w:rPr>
          <w:sz w:val="28"/>
          <w:szCs w:val="28"/>
        </w:rPr>
        <w:t xml:space="preserve"> 120 </w:t>
      </w:r>
      <w:proofErr w:type="spellStart"/>
      <w:r>
        <w:rPr>
          <w:sz w:val="28"/>
          <w:szCs w:val="28"/>
        </w:rPr>
        <w:t>vende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punës</w:t>
      </w:r>
      <w:proofErr w:type="spellEnd"/>
      <w:r>
        <w:rPr>
          <w:sz w:val="28"/>
          <w:szCs w:val="28"/>
        </w:rPr>
        <w:t>.</w:t>
      </w:r>
      <w:proofErr w:type="gramEnd"/>
    </w:p>
    <w:p w:rsidR="00D74CB6" w:rsidRDefault="00D74CB6" w:rsidP="00D74CB6">
      <w:pPr>
        <w:spacing w:line="280" w:lineRule="atLeast"/>
        <w:jc w:val="both"/>
        <w:rPr>
          <w:color w:val="000000"/>
          <w:sz w:val="28"/>
        </w:rPr>
      </w:pPr>
    </w:p>
    <w:p w:rsidR="00D74CB6" w:rsidRDefault="00D74CB6" w:rsidP="00D74CB6">
      <w:pPr>
        <w:spacing w:line="280" w:lineRule="atLeast"/>
        <w:jc w:val="both"/>
        <w:rPr>
          <w:color w:val="000000"/>
          <w:sz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211D8FE" wp14:editId="71BE6973">
            <wp:extent cx="5943600" cy="3816985"/>
            <wp:effectExtent l="0" t="0" r="0" b="0"/>
            <wp:docPr id="7" name="Picture 5" descr="mjedra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mjedra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B6" w:rsidRDefault="00D74CB6" w:rsidP="00D74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Po </w:t>
      </w:r>
      <w:proofErr w:type="spellStart"/>
      <w:r>
        <w:rPr>
          <w:sz w:val="28"/>
          <w:szCs w:val="28"/>
        </w:rPr>
        <w:t>ashtu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ndihmuar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bujqit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plotësimin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aplikacioneve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mini – </w:t>
      </w:r>
      <w:proofErr w:type="spellStart"/>
      <w:r>
        <w:rPr>
          <w:sz w:val="28"/>
          <w:szCs w:val="28"/>
        </w:rPr>
        <w:t>grante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mikro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biznese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biznese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bujqësore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organizatën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Gjermane</w:t>
      </w:r>
      <w:proofErr w:type="spellEnd"/>
      <w:r>
        <w:rPr>
          <w:sz w:val="28"/>
          <w:szCs w:val="28"/>
        </w:rPr>
        <w:t xml:space="preserve"> HELP.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Nga </w:t>
      </w:r>
      <w:proofErr w:type="spellStart"/>
      <w:r>
        <w:rPr>
          <w:sz w:val="28"/>
          <w:szCs w:val="28"/>
        </w:rPr>
        <w:t>zyrat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asistuar</w:t>
      </w:r>
      <w:proofErr w:type="spellEnd"/>
      <w:r>
        <w:rPr>
          <w:sz w:val="28"/>
          <w:szCs w:val="28"/>
        </w:rPr>
        <w:t xml:space="preserve"> 56 </w:t>
      </w:r>
      <w:proofErr w:type="spellStart"/>
      <w:r>
        <w:rPr>
          <w:sz w:val="28"/>
          <w:szCs w:val="28"/>
        </w:rPr>
        <w:t>fermerë</w:t>
      </w:r>
      <w:proofErr w:type="spellEnd"/>
      <w:r>
        <w:rPr>
          <w:sz w:val="28"/>
          <w:szCs w:val="28"/>
        </w:rPr>
        <w:t>.</w:t>
      </w:r>
      <w:proofErr w:type="gramEnd"/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Nga data 25.02.2016,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bërë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publikimin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thirrjes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misrit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pranuar</w:t>
      </w:r>
      <w:proofErr w:type="spellEnd"/>
      <w:r>
        <w:rPr>
          <w:sz w:val="28"/>
          <w:szCs w:val="28"/>
        </w:rPr>
        <w:t xml:space="preserve"> 414 </w:t>
      </w:r>
      <w:proofErr w:type="spellStart"/>
      <w:r>
        <w:rPr>
          <w:sz w:val="28"/>
          <w:szCs w:val="28"/>
        </w:rPr>
        <w:t>aplikacione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pas </w:t>
      </w:r>
      <w:proofErr w:type="spellStart"/>
      <w:r>
        <w:rPr>
          <w:sz w:val="28"/>
          <w:szCs w:val="28"/>
        </w:rPr>
        <w:t>verifikimit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listës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larguar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aplikues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ndërsa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tjetër</w:t>
      </w:r>
      <w:proofErr w:type="spellEnd"/>
      <w:r>
        <w:rPr>
          <w:sz w:val="28"/>
          <w:szCs w:val="28"/>
        </w:rPr>
        <w:t xml:space="preserve"> 406 </w:t>
      </w:r>
      <w:proofErr w:type="spellStart"/>
      <w:r>
        <w:rPr>
          <w:sz w:val="28"/>
          <w:szCs w:val="28"/>
        </w:rPr>
        <w:t>fermerë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përfituar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subvencion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Janë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shpërndarë</w:t>
      </w:r>
      <w:proofErr w:type="spellEnd"/>
      <w:r>
        <w:rPr>
          <w:sz w:val="28"/>
          <w:szCs w:val="28"/>
        </w:rPr>
        <w:t xml:space="preserve"> 600 </w:t>
      </w:r>
      <w:proofErr w:type="spellStart"/>
      <w:r>
        <w:rPr>
          <w:sz w:val="28"/>
          <w:szCs w:val="28"/>
        </w:rPr>
        <w:t>thasë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mbjelljën</w:t>
      </w:r>
      <w:proofErr w:type="spellEnd"/>
      <w:r>
        <w:rPr>
          <w:sz w:val="28"/>
          <w:szCs w:val="28"/>
        </w:rPr>
        <w:t xml:space="preserve"> e 320 ha.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është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implementuar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datën</w:t>
      </w:r>
      <w:proofErr w:type="spellEnd"/>
      <w:r>
        <w:rPr>
          <w:sz w:val="28"/>
          <w:szCs w:val="28"/>
        </w:rPr>
        <w:t xml:space="preserve"> 13.04.2016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koston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13,800.00</w:t>
      </w:r>
      <w:proofErr w:type="gramEnd"/>
      <w:r>
        <w:rPr>
          <w:b/>
          <w:sz w:val="28"/>
          <w:szCs w:val="28"/>
        </w:rPr>
        <w:t xml:space="preserve"> €.</w:t>
      </w:r>
    </w:p>
    <w:p w:rsidR="00D74CB6" w:rsidRDefault="00D74CB6" w:rsidP="00D74CB6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5D063A" wp14:editId="7AC4AA5F">
            <wp:extent cx="5867400" cy="3829050"/>
            <wp:effectExtent l="0" t="0" r="0" b="0"/>
            <wp:docPr id="8" name="Picture 6" descr="http://kk.rks-gov.net/gjilan/getattachment/c790cb1a-6b41-48c2-83ed-6bedf4ac2479/Gjilani-subvencionon-me-fare-misri-406-farmere.aspx?maxsidesize=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://kk.rks-gov.net/gjilan/getattachment/c790cb1a-6b41-48c2-83ed-6bedf4ac2479/Gjilani-subvencionon-me-fare-misri-406-farmere.aspx?maxsidesize=2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 </w:t>
      </w:r>
      <w:proofErr w:type="spellStart"/>
      <w:r>
        <w:rPr>
          <w:sz w:val="28"/>
          <w:szCs w:val="28"/>
        </w:rPr>
        <w:t>datën</w:t>
      </w:r>
      <w:proofErr w:type="spellEnd"/>
      <w:r>
        <w:rPr>
          <w:sz w:val="28"/>
          <w:szCs w:val="28"/>
        </w:rPr>
        <w:t xml:space="preserve"> 02.02.2016,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publikuar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listën</w:t>
      </w:r>
      <w:proofErr w:type="spellEnd"/>
      <w:r>
        <w:rPr>
          <w:sz w:val="28"/>
          <w:szCs w:val="28"/>
        </w:rPr>
        <w:t xml:space="preserve"> e </w:t>
      </w:r>
      <w:proofErr w:type="spellStart"/>
      <w:proofErr w:type="gramStart"/>
      <w:r>
        <w:rPr>
          <w:sz w:val="28"/>
          <w:szCs w:val="28"/>
        </w:rPr>
        <w:t>përfituesve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për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konstruksione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serrave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ku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fermerë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përfituar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prej</w:t>
      </w:r>
      <w:proofErr w:type="spellEnd"/>
      <w:r>
        <w:rPr>
          <w:sz w:val="28"/>
          <w:szCs w:val="28"/>
        </w:rPr>
        <w:t xml:space="preserve"> 300 m</w:t>
      </w:r>
      <w:r>
        <w:rPr>
          <w:sz w:val="28"/>
          <w:szCs w:val="28"/>
          <w:vertAlign w:val="superscript"/>
        </w:rPr>
        <w:t xml:space="preserve">2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fermerë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tjerë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përfituar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prej</w:t>
      </w:r>
      <w:proofErr w:type="spellEnd"/>
      <w:r>
        <w:rPr>
          <w:sz w:val="28"/>
          <w:szCs w:val="28"/>
        </w:rPr>
        <w:t xml:space="preserve"> 150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Ky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është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finalizuar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datën</w:t>
      </w:r>
      <w:proofErr w:type="spellEnd"/>
      <w:r>
        <w:rPr>
          <w:sz w:val="28"/>
          <w:szCs w:val="28"/>
        </w:rPr>
        <w:t xml:space="preserve"> 21.04.2016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shuma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këtij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është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23,400.00 €</w:t>
      </w:r>
      <w:r>
        <w:rPr>
          <w:sz w:val="28"/>
          <w:szCs w:val="28"/>
        </w:rPr>
        <w:t>.</w:t>
      </w:r>
    </w:p>
    <w:p w:rsidR="00D74CB6" w:rsidRDefault="00D74CB6" w:rsidP="00D74CB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AE844A9" wp14:editId="4A69FE93">
            <wp:extent cx="5940425" cy="3200400"/>
            <wp:effectExtent l="0" t="0" r="3175" b="0"/>
            <wp:docPr id="9" name="Picture 4" descr="Se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Se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B6" w:rsidRDefault="00D74CB6" w:rsidP="00D74CB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Me </w:t>
      </w:r>
      <w:proofErr w:type="spellStart"/>
      <w:r>
        <w:rPr>
          <w:sz w:val="28"/>
          <w:szCs w:val="28"/>
        </w:rPr>
        <w:t>datën</w:t>
      </w:r>
      <w:proofErr w:type="spellEnd"/>
      <w:r>
        <w:rPr>
          <w:sz w:val="28"/>
          <w:szCs w:val="28"/>
        </w:rPr>
        <w:t xml:space="preserve"> 25.01.2016,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aplikuar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organizatën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Qeveritare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Turke</w:t>
      </w:r>
      <w:proofErr w:type="spellEnd"/>
      <w:r>
        <w:rPr>
          <w:sz w:val="28"/>
          <w:szCs w:val="28"/>
        </w:rPr>
        <w:t xml:space="preserve"> TIKA,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mekanizim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bujqësor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Kemi </w:t>
      </w:r>
      <w:proofErr w:type="spellStart"/>
      <w:r>
        <w:rPr>
          <w:sz w:val="28"/>
          <w:szCs w:val="28"/>
        </w:rPr>
        <w:t>dorëzuar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detal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specifikacionin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duhur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40 </w:t>
      </w:r>
      <w:proofErr w:type="spellStart"/>
      <w:r>
        <w:rPr>
          <w:sz w:val="28"/>
          <w:szCs w:val="28"/>
        </w:rPr>
        <w:t>paisje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bujqësore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implementimi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këtij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shumën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mbi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30,000.00 €, </w:t>
      </w:r>
      <w:proofErr w:type="spellStart"/>
      <w:r>
        <w:rPr>
          <w:sz w:val="28"/>
          <w:szCs w:val="28"/>
        </w:rPr>
        <w:t>është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bërë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datën</w:t>
      </w:r>
      <w:proofErr w:type="spellEnd"/>
      <w:r>
        <w:rPr>
          <w:sz w:val="28"/>
          <w:szCs w:val="28"/>
        </w:rPr>
        <w:t xml:space="preserve"> 05.05.2016. </w:t>
      </w:r>
    </w:p>
    <w:p w:rsidR="00D74CB6" w:rsidRDefault="00D74CB6" w:rsidP="00D74CB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65588C4" wp14:editId="3983F9F4">
            <wp:extent cx="5942965" cy="3571875"/>
            <wp:effectExtent l="0" t="0" r="635" b="9525"/>
            <wp:docPr id="3" name="Picture 3" descr="http://2lonline.com/img12/00_12_146246194517747229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2lonline.com/img12/00_12_1462461945177472296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Pas </w:t>
      </w:r>
      <w:proofErr w:type="spellStart"/>
      <w:r>
        <w:rPr>
          <w:color w:val="000000"/>
          <w:sz w:val="28"/>
        </w:rPr>
        <w:t>temperaturave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ulta</w:t>
      </w:r>
      <w:proofErr w:type="spellEnd"/>
      <w:r>
        <w:rPr>
          <w:color w:val="000000"/>
          <w:sz w:val="28"/>
        </w:rPr>
        <w:t xml:space="preserve"> me </w:t>
      </w:r>
      <w:proofErr w:type="spellStart"/>
      <w:r>
        <w:rPr>
          <w:color w:val="000000"/>
          <w:sz w:val="28"/>
        </w:rPr>
        <w:t>datën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prill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kemi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vizituar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pesë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pemishte</w:t>
      </w:r>
      <w:proofErr w:type="spellEnd"/>
      <w:r>
        <w:rPr>
          <w:color w:val="000000"/>
          <w:sz w:val="28"/>
        </w:rPr>
        <w:t xml:space="preserve">, me </w:t>
      </w:r>
      <w:proofErr w:type="spellStart"/>
      <w:r>
        <w:rPr>
          <w:color w:val="000000"/>
          <w:sz w:val="28"/>
        </w:rPr>
        <w:t>kërkesën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tyre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kemi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vlerësuar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dëmet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nga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temperaturat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ulta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Janë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vlerësuar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dëmet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pemishtet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Mexhid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Zeqirit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Fadil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Ahmetit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Bajram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Ramadanit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nga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Livoqi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ulët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janë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vlerësuar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dëmet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pemishten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Enver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Mehmetit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Bajram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Selimit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nga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Llashtica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Janë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rekomanduar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për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kompensim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dëmit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MBPZHR.</w:t>
      </w:r>
      <w:proofErr w:type="gramEnd"/>
    </w:p>
    <w:p w:rsidR="00EC4943" w:rsidRDefault="00D74CB6" w:rsidP="00D74CB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Me </w:t>
      </w:r>
      <w:proofErr w:type="spellStart"/>
      <w:r>
        <w:rPr>
          <w:color w:val="000000"/>
          <w:sz w:val="28"/>
        </w:rPr>
        <w:t>datën</w:t>
      </w:r>
      <w:proofErr w:type="spellEnd"/>
      <w:r>
        <w:rPr>
          <w:color w:val="000000"/>
          <w:sz w:val="28"/>
        </w:rPr>
        <w:t xml:space="preserve"> 29.04.2016, </w:t>
      </w:r>
      <w:proofErr w:type="spellStart"/>
      <w:r>
        <w:rPr>
          <w:color w:val="000000"/>
          <w:sz w:val="28"/>
        </w:rPr>
        <w:t>është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organizuar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një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konferencë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donatorëve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nga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Kalabria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programi</w:t>
      </w:r>
      <w:proofErr w:type="spellEnd"/>
      <w:r>
        <w:rPr>
          <w:color w:val="000000"/>
          <w:sz w:val="28"/>
        </w:rPr>
        <w:t xml:space="preserve"> Agro- USAID </w:t>
      </w:r>
      <w:proofErr w:type="spellStart"/>
      <w:r>
        <w:rPr>
          <w:color w:val="000000"/>
          <w:sz w:val="28"/>
        </w:rPr>
        <w:t>për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masovizimin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sektorit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Pemtarisë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regjionin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anamoravës</w:t>
      </w:r>
      <w:proofErr w:type="spellEnd"/>
      <w:r>
        <w:rPr>
          <w:color w:val="000000"/>
          <w:sz w:val="28"/>
        </w:rPr>
        <w:t xml:space="preserve">.  </w:t>
      </w:r>
      <w:proofErr w:type="gramStart"/>
      <w:r>
        <w:rPr>
          <w:color w:val="000000"/>
          <w:sz w:val="28"/>
        </w:rPr>
        <w:t xml:space="preserve">Nga </w:t>
      </w:r>
      <w:proofErr w:type="spellStart"/>
      <w:r>
        <w:rPr>
          <w:color w:val="000000"/>
          <w:sz w:val="28"/>
        </w:rPr>
        <w:t>takimi</w:t>
      </w:r>
      <w:proofErr w:type="spellEnd"/>
      <w:r>
        <w:rPr>
          <w:color w:val="000000"/>
          <w:sz w:val="28"/>
        </w:rPr>
        <w:t xml:space="preserve"> me USAID-in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kompanin</w:t>
      </w:r>
      <w:proofErr w:type="spellEnd"/>
      <w:r>
        <w:rPr>
          <w:color w:val="000000"/>
          <w:sz w:val="28"/>
        </w:rPr>
        <w:t xml:space="preserve"> KALABRIA, </w:t>
      </w:r>
      <w:proofErr w:type="spellStart"/>
      <w:r>
        <w:rPr>
          <w:color w:val="000000"/>
          <w:sz w:val="28"/>
        </w:rPr>
        <w:t>rreth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programit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për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ngritjen</w:t>
      </w:r>
      <w:proofErr w:type="spellEnd"/>
      <w:r>
        <w:rPr>
          <w:color w:val="000000"/>
          <w:sz w:val="28"/>
        </w:rPr>
        <w:t xml:space="preserve"> e 75 ha me </w:t>
      </w:r>
      <w:proofErr w:type="spellStart"/>
      <w:r>
        <w:rPr>
          <w:color w:val="000000"/>
          <w:sz w:val="28"/>
        </w:rPr>
        <w:t>vishnje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komunën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Gjilanit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200 ha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anamorave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nga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gjitha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drejtoritë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komunale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ju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mbështetje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këtij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programi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jemi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faz</w:t>
      </w:r>
      <w:r>
        <w:rPr>
          <w:rFonts w:ascii="Sylfaen" w:hAnsi="Sylfaen"/>
          <w:color w:val="000000"/>
          <w:sz w:val="28"/>
        </w:rPr>
        <w:t>ën</w:t>
      </w:r>
      <w:proofErr w:type="spellEnd"/>
      <w:r>
        <w:rPr>
          <w:rFonts w:ascii="Sylfaen" w:hAnsi="Sylfaen"/>
          <w:color w:val="000000"/>
          <w:sz w:val="28"/>
        </w:rPr>
        <w:t xml:space="preserve"> e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hulumtimit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interesimeve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fermerëve</w:t>
      </w:r>
      <w:proofErr w:type="spellEnd"/>
      <w:r>
        <w:rPr>
          <w:color w:val="000000"/>
          <w:sz w:val="28"/>
        </w:rPr>
        <w:t>.</w:t>
      </w:r>
      <w:proofErr w:type="gramEnd"/>
    </w:p>
    <w:p w:rsidR="00AF5B46" w:rsidRDefault="00AF5B46" w:rsidP="00D74CB6">
      <w:pPr>
        <w:jc w:val="both"/>
        <w:rPr>
          <w:color w:val="000000"/>
          <w:sz w:val="28"/>
        </w:rPr>
      </w:pPr>
    </w:p>
    <w:p w:rsidR="006049CC" w:rsidRDefault="00D74CB6" w:rsidP="009B4826">
      <w:pPr>
        <w:jc w:val="both"/>
        <w:rPr>
          <w:sz w:val="28"/>
          <w:szCs w:val="28"/>
          <w:lang w:val="sq-AL"/>
        </w:rPr>
      </w:pPr>
      <w:r>
        <w:rPr>
          <w:color w:val="000000"/>
          <w:sz w:val="28"/>
        </w:rPr>
        <w:t xml:space="preserve">Me </w:t>
      </w:r>
      <w:proofErr w:type="spellStart"/>
      <w:r>
        <w:rPr>
          <w:color w:val="000000"/>
          <w:sz w:val="28"/>
        </w:rPr>
        <w:t>datën</w:t>
      </w:r>
      <w:proofErr w:type="spellEnd"/>
      <w:r>
        <w:rPr>
          <w:color w:val="000000"/>
          <w:sz w:val="28"/>
        </w:rPr>
        <w:t xml:space="preserve"> 26.05.2</w:t>
      </w:r>
      <w:r w:rsidR="009B4826">
        <w:rPr>
          <w:color w:val="000000"/>
          <w:sz w:val="28"/>
        </w:rPr>
        <w:t xml:space="preserve">016, </w:t>
      </w:r>
      <w:proofErr w:type="spellStart"/>
      <w:r w:rsidR="009B4826">
        <w:rPr>
          <w:color w:val="000000"/>
          <w:sz w:val="28"/>
        </w:rPr>
        <w:t>është</w:t>
      </w:r>
      <w:proofErr w:type="spellEnd"/>
      <w:r w:rsidR="009B4826">
        <w:rPr>
          <w:color w:val="000000"/>
          <w:sz w:val="28"/>
        </w:rPr>
        <w:t xml:space="preserve"> </w:t>
      </w:r>
      <w:proofErr w:type="spellStart"/>
      <w:r w:rsidR="009B4826">
        <w:rPr>
          <w:color w:val="000000"/>
          <w:sz w:val="28"/>
        </w:rPr>
        <w:t>organizuar</w:t>
      </w:r>
      <w:proofErr w:type="spellEnd"/>
      <w:r w:rsidR="009B4826">
        <w:rPr>
          <w:color w:val="000000"/>
          <w:sz w:val="28"/>
        </w:rPr>
        <w:t xml:space="preserve"> </w:t>
      </w:r>
      <w:proofErr w:type="spellStart"/>
      <w:r w:rsidR="009B4826">
        <w:rPr>
          <w:color w:val="000000"/>
          <w:sz w:val="28"/>
        </w:rPr>
        <w:t>debat</w:t>
      </w:r>
      <w:proofErr w:type="spellEnd"/>
      <w:r w:rsidR="009B4826">
        <w:rPr>
          <w:color w:val="000000"/>
          <w:sz w:val="28"/>
        </w:rPr>
        <w:t xml:space="preserve"> </w:t>
      </w:r>
      <w:proofErr w:type="spellStart"/>
      <w:r w:rsidR="009B4826" w:rsidRPr="009B4826">
        <w:rPr>
          <w:color w:val="000000"/>
          <w:sz w:val="28"/>
          <w:szCs w:val="28"/>
        </w:rPr>
        <w:t>nga</w:t>
      </w:r>
      <w:proofErr w:type="spellEnd"/>
      <w:r w:rsidR="009B4826" w:rsidRPr="009B4826">
        <w:rPr>
          <w:color w:val="000000"/>
          <w:sz w:val="28"/>
          <w:szCs w:val="28"/>
        </w:rPr>
        <w:t xml:space="preserve"> </w:t>
      </w:r>
      <w:r w:rsidR="009B4826" w:rsidRPr="009B4826">
        <w:rPr>
          <w:sz w:val="28"/>
          <w:szCs w:val="28"/>
          <w:lang w:val="sq-AL"/>
        </w:rPr>
        <w:t>Komisioni për Buxhet dhe Financa i Kuvendit të Republikës së Kosovës, në bashkëpunim me Institutin</w:t>
      </w:r>
      <w:r w:rsidR="006049CC">
        <w:rPr>
          <w:sz w:val="28"/>
          <w:szCs w:val="28"/>
          <w:lang w:val="sq-AL"/>
        </w:rPr>
        <w:t xml:space="preserve"> </w:t>
      </w:r>
      <w:r w:rsidR="009B4826" w:rsidRPr="009B4826">
        <w:rPr>
          <w:sz w:val="28"/>
          <w:szCs w:val="28"/>
          <w:lang w:val="sq-AL"/>
        </w:rPr>
        <w:t>Demokratik të Kosovës (KDI-në)</w:t>
      </w:r>
      <w:r w:rsidR="009B4826">
        <w:rPr>
          <w:sz w:val="28"/>
          <w:szCs w:val="28"/>
          <w:lang w:val="sq-AL"/>
        </w:rPr>
        <w:t xml:space="preserve"> dhe MDA, për mundësit e kultivimit të kulturës së duhanit në komunën e Gjilanit.</w:t>
      </w:r>
    </w:p>
    <w:p w:rsidR="00AF5B46" w:rsidRPr="006049CC" w:rsidRDefault="009B4826" w:rsidP="009B4826">
      <w:pPr>
        <w:jc w:val="both"/>
        <w:rPr>
          <w:sz w:val="28"/>
          <w:szCs w:val="28"/>
          <w:lang w:val="sq-AL"/>
        </w:rPr>
      </w:pPr>
      <w:r>
        <w:rPr>
          <w:sz w:val="28"/>
          <w:szCs w:val="28"/>
        </w:rPr>
        <w:lastRenderedPageBreak/>
        <w:t xml:space="preserve">Me </w:t>
      </w:r>
      <w:proofErr w:type="spellStart"/>
      <w:r>
        <w:rPr>
          <w:sz w:val="28"/>
          <w:szCs w:val="28"/>
        </w:rPr>
        <w:t>datën</w:t>
      </w:r>
      <w:proofErr w:type="spellEnd"/>
      <w:r>
        <w:rPr>
          <w:sz w:val="28"/>
          <w:szCs w:val="28"/>
        </w:rPr>
        <w:t xml:space="preserve"> 15.06.2016 </w:t>
      </w:r>
      <w:proofErr w:type="spellStart"/>
      <w:r>
        <w:rPr>
          <w:sz w:val="28"/>
          <w:szCs w:val="28"/>
        </w:rPr>
        <w:t>promovohen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aktivitetet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projektit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financohet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BE-ja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implementohet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Care </w:t>
      </w:r>
      <w:proofErr w:type="gramStart"/>
      <w:r>
        <w:rPr>
          <w:sz w:val="28"/>
          <w:szCs w:val="28"/>
        </w:rPr>
        <w:t>International ,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Përkrahja</w:t>
      </w:r>
      <w:proofErr w:type="spellEnd"/>
      <w:r>
        <w:rPr>
          <w:sz w:val="28"/>
          <w:szCs w:val="28"/>
        </w:rPr>
        <w:t xml:space="preserve"> e agro-</w:t>
      </w:r>
      <w:proofErr w:type="spellStart"/>
      <w:r>
        <w:rPr>
          <w:sz w:val="28"/>
          <w:szCs w:val="28"/>
        </w:rPr>
        <w:t>bizneseve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regji</w:t>
      </w:r>
      <w:r w:rsidR="00CF6F5F">
        <w:rPr>
          <w:sz w:val="28"/>
          <w:szCs w:val="28"/>
        </w:rPr>
        <w:t>onin</w:t>
      </w:r>
      <w:proofErr w:type="spellEnd"/>
      <w:r w:rsidR="00CF6F5F">
        <w:rPr>
          <w:sz w:val="28"/>
          <w:szCs w:val="28"/>
        </w:rPr>
        <w:t xml:space="preserve"> e </w:t>
      </w:r>
      <w:proofErr w:type="spellStart"/>
      <w:r w:rsidR="00CF6F5F">
        <w:rPr>
          <w:sz w:val="28"/>
          <w:szCs w:val="28"/>
        </w:rPr>
        <w:t>Gjilanit</w:t>
      </w:r>
      <w:proofErr w:type="spellEnd"/>
      <w:r w:rsidR="00CF6F5F">
        <w:rPr>
          <w:sz w:val="28"/>
          <w:szCs w:val="28"/>
        </w:rPr>
        <w:t xml:space="preserve"> “, </w:t>
      </w:r>
      <w:proofErr w:type="spellStart"/>
      <w:r w:rsidR="00CF6F5F">
        <w:rPr>
          <w:sz w:val="28"/>
          <w:szCs w:val="28"/>
        </w:rPr>
        <w:t>ku</w:t>
      </w:r>
      <w:proofErr w:type="spellEnd"/>
      <w:r w:rsidR="00CF6F5F">
        <w:rPr>
          <w:sz w:val="28"/>
          <w:szCs w:val="28"/>
        </w:rPr>
        <w:t xml:space="preserve"> </w:t>
      </w:r>
      <w:proofErr w:type="spellStart"/>
      <w:r w:rsidR="00CF6F5F">
        <w:rPr>
          <w:sz w:val="28"/>
          <w:szCs w:val="28"/>
        </w:rPr>
        <w:t>janë</w:t>
      </w:r>
      <w:proofErr w:type="spellEnd"/>
      <w:r w:rsidR="00CF6F5F">
        <w:rPr>
          <w:sz w:val="28"/>
          <w:szCs w:val="28"/>
        </w:rPr>
        <w:t xml:space="preserve"> </w:t>
      </w:r>
      <w:proofErr w:type="spellStart"/>
      <w:r w:rsidR="00CF6F5F">
        <w:rPr>
          <w:sz w:val="28"/>
          <w:szCs w:val="28"/>
        </w:rPr>
        <w:t>shpërndarë</w:t>
      </w:r>
      <w:proofErr w:type="spellEnd"/>
      <w:r w:rsidR="00CF6F5F">
        <w:rPr>
          <w:sz w:val="28"/>
          <w:szCs w:val="28"/>
        </w:rPr>
        <w:t xml:space="preserve"> </w:t>
      </w:r>
      <w:proofErr w:type="spellStart"/>
      <w:r w:rsidR="00CF6F5F">
        <w:rPr>
          <w:sz w:val="28"/>
          <w:szCs w:val="28"/>
        </w:rPr>
        <w:t>mekanizim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bujqësor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kultivuesit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bimëve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aromatike-mjekësor</w:t>
      </w:r>
      <w:proofErr w:type="spellEnd"/>
      <w:r>
        <w:rPr>
          <w:sz w:val="28"/>
          <w:szCs w:val="28"/>
        </w:rPr>
        <w:t xml:space="preserve">, 12 </w:t>
      </w:r>
      <w:proofErr w:type="spellStart"/>
      <w:r>
        <w:rPr>
          <w:sz w:val="28"/>
          <w:szCs w:val="28"/>
        </w:rPr>
        <w:t>serra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perimtar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shpërndarja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qertifikatave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fermerët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përmbushur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kriteret</w:t>
      </w:r>
      <w:proofErr w:type="spellEnd"/>
      <w:r>
        <w:rPr>
          <w:sz w:val="28"/>
          <w:szCs w:val="28"/>
        </w:rPr>
        <w:t xml:space="preserve">. </w:t>
      </w:r>
    </w:p>
    <w:p w:rsidR="00AF5B46" w:rsidRDefault="00AF5B46" w:rsidP="009B48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8925" cy="2819400"/>
            <wp:effectExtent l="0" t="0" r="9525" b="0"/>
            <wp:docPr id="5" name="Picture 5" descr="C:\Users\kkgjil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gjilan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1FC9EFB" wp14:editId="236BB982">
            <wp:extent cx="3086100" cy="2819400"/>
            <wp:effectExtent l="0" t="0" r="0" b="0"/>
            <wp:docPr id="6" name="Picture 6" descr="C:\Users\kkgjila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826" w:rsidRDefault="009B4826" w:rsidP="00D74CB6">
      <w:pPr>
        <w:jc w:val="both"/>
        <w:rPr>
          <w:sz w:val="28"/>
          <w:szCs w:val="28"/>
          <w:lang w:val="sq-AL"/>
        </w:rPr>
      </w:pPr>
    </w:p>
    <w:p w:rsidR="006049CC" w:rsidRDefault="006049CC" w:rsidP="00D74CB6">
      <w:pPr>
        <w:jc w:val="both"/>
        <w:rPr>
          <w:sz w:val="28"/>
          <w:szCs w:val="28"/>
          <w:lang w:val="sq-AL"/>
        </w:rPr>
      </w:pPr>
    </w:p>
    <w:p w:rsidR="00EC4943" w:rsidRPr="00CF6F5F" w:rsidRDefault="009B4826" w:rsidP="00D74CB6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sq-AL"/>
        </w:rPr>
        <w:t xml:space="preserve">Me datën 29.06.2016, në bletishtën e Fatmir Krasniqit në Livoq të ulët kemi organizuar shpërndarjen e </w:t>
      </w:r>
      <w:r w:rsidR="00EC4943">
        <w:rPr>
          <w:sz w:val="28"/>
          <w:szCs w:val="28"/>
          <w:lang w:val="sq-AL"/>
        </w:rPr>
        <w:t xml:space="preserve"> 35 Centrifugave elektrike për bletar</w:t>
      </w:r>
      <w:r w:rsidR="003D1AB6">
        <w:rPr>
          <w:sz w:val="28"/>
          <w:szCs w:val="28"/>
          <w:lang w:val="sq-AL"/>
        </w:rPr>
        <w:t>ë</w:t>
      </w:r>
      <w:r w:rsidR="00EC4943">
        <w:rPr>
          <w:sz w:val="28"/>
          <w:szCs w:val="28"/>
          <w:lang w:val="sq-AL"/>
        </w:rPr>
        <w:t xml:space="preserve">. </w:t>
      </w:r>
      <w:proofErr w:type="spellStart"/>
      <w:proofErr w:type="gramStart"/>
      <w:r w:rsidR="00EC4943" w:rsidRPr="00CF6F5F">
        <w:rPr>
          <w:sz w:val="28"/>
          <w:szCs w:val="28"/>
        </w:rPr>
        <w:t>Vlera</w:t>
      </w:r>
      <w:proofErr w:type="spellEnd"/>
      <w:r w:rsidR="00EC4943" w:rsidRPr="00CF6F5F">
        <w:rPr>
          <w:sz w:val="28"/>
          <w:szCs w:val="28"/>
        </w:rPr>
        <w:t xml:space="preserve"> e </w:t>
      </w:r>
      <w:proofErr w:type="spellStart"/>
      <w:r w:rsidR="00EC4943" w:rsidRPr="00CF6F5F">
        <w:rPr>
          <w:sz w:val="28"/>
          <w:szCs w:val="28"/>
        </w:rPr>
        <w:t>këtij</w:t>
      </w:r>
      <w:proofErr w:type="spellEnd"/>
      <w:r w:rsidR="00EC4943" w:rsidRPr="00CF6F5F">
        <w:rPr>
          <w:sz w:val="28"/>
          <w:szCs w:val="28"/>
        </w:rPr>
        <w:t xml:space="preserve"> </w:t>
      </w:r>
      <w:proofErr w:type="spellStart"/>
      <w:r w:rsidR="00EC4943" w:rsidRPr="00CF6F5F">
        <w:rPr>
          <w:sz w:val="28"/>
          <w:szCs w:val="28"/>
        </w:rPr>
        <w:t>investimi</w:t>
      </w:r>
      <w:proofErr w:type="spellEnd"/>
      <w:r w:rsidR="00EC4943" w:rsidRPr="00CF6F5F">
        <w:rPr>
          <w:sz w:val="28"/>
          <w:szCs w:val="28"/>
        </w:rPr>
        <w:t xml:space="preserve"> </w:t>
      </w:r>
      <w:r w:rsidR="00EC4943" w:rsidRPr="00CF6F5F">
        <w:rPr>
          <w:b/>
          <w:sz w:val="28"/>
          <w:szCs w:val="28"/>
        </w:rPr>
        <w:t>11,305.00 €.</w:t>
      </w:r>
      <w:proofErr w:type="gramEnd"/>
    </w:p>
    <w:p w:rsidR="009B4826" w:rsidRPr="00AF5B46" w:rsidRDefault="00EC4943" w:rsidP="009B4826">
      <w:pPr>
        <w:jc w:val="both"/>
        <w:rPr>
          <w:sz w:val="28"/>
          <w:szCs w:val="28"/>
          <w:lang w:val="sq-AL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6590B50" wp14:editId="21139DF7">
            <wp:extent cx="5943600" cy="3219450"/>
            <wp:effectExtent l="0" t="0" r="0" b="0"/>
            <wp:docPr id="10" name="Picture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B6" w:rsidRDefault="00D74CB6" w:rsidP="00D74CB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Kemi </w:t>
      </w:r>
      <w:proofErr w:type="spellStart"/>
      <w:r>
        <w:rPr>
          <w:color w:val="000000"/>
          <w:sz w:val="28"/>
        </w:rPr>
        <w:t>inicuar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është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fazën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publikimit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projektit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për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trajtimin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rrugëve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fushore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fshatrat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Malishevë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Uglar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Pogragjë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Llovcë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Dobërqan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Kmetoc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Verbicë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Kmetocit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ku</w:t>
      </w:r>
      <w:proofErr w:type="spellEnd"/>
      <w:r>
        <w:rPr>
          <w:color w:val="000000"/>
          <w:sz w:val="28"/>
        </w:rPr>
        <w:t xml:space="preserve"> do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trajtohen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mbi</w:t>
      </w:r>
      <w:proofErr w:type="spellEnd"/>
      <w:r>
        <w:rPr>
          <w:color w:val="000000"/>
          <w:sz w:val="28"/>
        </w:rPr>
        <w:t xml:space="preserve"> 20 km </w:t>
      </w:r>
      <w:proofErr w:type="spellStart"/>
      <w:r>
        <w:rPr>
          <w:color w:val="000000"/>
          <w:sz w:val="28"/>
        </w:rPr>
        <w:t>rrugë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fushore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vlera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këtij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investimi</w:t>
      </w:r>
      <w:proofErr w:type="spellEnd"/>
      <w:r>
        <w:rPr>
          <w:color w:val="000000"/>
          <w:sz w:val="28"/>
        </w:rPr>
        <w:t xml:space="preserve"> do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jetë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mbi</w:t>
      </w:r>
      <w:proofErr w:type="spellEnd"/>
      <w:r>
        <w:rPr>
          <w:color w:val="000000"/>
          <w:sz w:val="28"/>
        </w:rPr>
        <w:t xml:space="preserve"> 100,000.00 €.  </w:t>
      </w:r>
    </w:p>
    <w:p w:rsidR="00EC4943" w:rsidRDefault="00EC4943" w:rsidP="00D74CB6">
      <w:pPr>
        <w:jc w:val="both"/>
        <w:rPr>
          <w:color w:val="000000"/>
          <w:sz w:val="28"/>
        </w:rPr>
      </w:pPr>
    </w:p>
    <w:p w:rsidR="00EC4943" w:rsidRDefault="00EC4943" w:rsidP="00D74CB6">
      <w:pPr>
        <w:jc w:val="both"/>
        <w:rPr>
          <w:color w:val="000000"/>
          <w:sz w:val="28"/>
        </w:rPr>
      </w:pPr>
      <w:proofErr w:type="spellStart"/>
      <w:proofErr w:type="gramStart"/>
      <w:r>
        <w:rPr>
          <w:color w:val="000000"/>
          <w:sz w:val="28"/>
        </w:rPr>
        <w:t>Jemi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proqes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implementimit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projektit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për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furnizimin</w:t>
      </w:r>
      <w:proofErr w:type="spell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blegtorëve</w:t>
      </w:r>
      <w:proofErr w:type="spellEnd"/>
      <w:r>
        <w:rPr>
          <w:color w:val="000000"/>
          <w:sz w:val="28"/>
        </w:rPr>
        <w:t xml:space="preserve"> me </w:t>
      </w:r>
      <w:proofErr w:type="spellStart"/>
      <w:r>
        <w:rPr>
          <w:color w:val="000000"/>
          <w:sz w:val="28"/>
        </w:rPr>
        <w:t>makina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mjelëse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për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lopë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dhi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qumështore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s</w:t>
      </w:r>
      <w:r w:rsidR="003D1AB6">
        <w:rPr>
          <w:color w:val="000000"/>
          <w:sz w:val="28"/>
        </w:rPr>
        <w:t>i</w:t>
      </w:r>
      <w:proofErr w:type="spellEnd"/>
      <w:r w:rsidR="003D1AB6">
        <w:rPr>
          <w:color w:val="000000"/>
          <w:sz w:val="28"/>
        </w:rPr>
        <w:t xml:space="preserve"> </w:t>
      </w:r>
      <w:proofErr w:type="spellStart"/>
      <w:r w:rsidR="003D1AB6">
        <w:rPr>
          <w:color w:val="000000"/>
          <w:sz w:val="28"/>
        </w:rPr>
        <w:t>dhe</w:t>
      </w:r>
      <w:proofErr w:type="spellEnd"/>
      <w:r w:rsidR="003D1AB6">
        <w:rPr>
          <w:color w:val="000000"/>
          <w:sz w:val="28"/>
        </w:rPr>
        <w:t xml:space="preserve"> </w:t>
      </w:r>
      <w:proofErr w:type="spellStart"/>
      <w:r w:rsidR="003D1AB6">
        <w:rPr>
          <w:color w:val="000000"/>
          <w:sz w:val="28"/>
        </w:rPr>
        <w:t>bidona</w:t>
      </w:r>
      <w:proofErr w:type="spellEnd"/>
      <w:r w:rsidR="003D1AB6">
        <w:rPr>
          <w:color w:val="000000"/>
          <w:sz w:val="28"/>
        </w:rPr>
        <w:t xml:space="preserve"> </w:t>
      </w:r>
      <w:proofErr w:type="spellStart"/>
      <w:r w:rsidR="003D1AB6">
        <w:rPr>
          <w:color w:val="000000"/>
          <w:sz w:val="28"/>
        </w:rPr>
        <w:t>të</w:t>
      </w:r>
      <w:proofErr w:type="spellEnd"/>
      <w:r w:rsidR="003D1AB6">
        <w:rPr>
          <w:color w:val="000000"/>
          <w:sz w:val="28"/>
        </w:rPr>
        <w:t xml:space="preserve"> </w:t>
      </w:r>
      <w:proofErr w:type="spellStart"/>
      <w:r w:rsidR="003D1AB6">
        <w:rPr>
          <w:color w:val="000000"/>
          <w:sz w:val="28"/>
        </w:rPr>
        <w:t>aluminit</w:t>
      </w:r>
      <w:proofErr w:type="spellEnd"/>
      <w:r w:rsidR="003D1AB6">
        <w:rPr>
          <w:color w:val="000000"/>
          <w:sz w:val="28"/>
        </w:rPr>
        <w:t xml:space="preserve"> me tapë</w:t>
      </w:r>
      <w:r>
        <w:rPr>
          <w:color w:val="000000"/>
          <w:sz w:val="28"/>
        </w:rPr>
        <w:t>.</w:t>
      </w:r>
      <w:proofErr w:type="gramEnd"/>
    </w:p>
    <w:p w:rsidR="00D74CB6" w:rsidRDefault="00D74CB6" w:rsidP="00D74CB6">
      <w:pPr>
        <w:jc w:val="both"/>
        <w:rPr>
          <w:color w:val="000000"/>
          <w:sz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Sektori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Pylltarisë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sektor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veprojmë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kompetenca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kufizuara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fokusi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është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ndalja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prerjeve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ilegale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pyjeve</w:t>
      </w:r>
      <w:proofErr w:type="spellEnd"/>
      <w:r>
        <w:rPr>
          <w:sz w:val="28"/>
          <w:szCs w:val="28"/>
        </w:rPr>
        <w:t>.</w:t>
      </w:r>
      <w:proofErr w:type="gramEnd"/>
    </w:p>
    <w:p w:rsidR="00D74CB6" w:rsidRDefault="00D74CB6" w:rsidP="00D74CB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Gjatë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periudhe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ngritur</w:t>
      </w:r>
      <w:proofErr w:type="spellEnd"/>
      <w:r>
        <w:rPr>
          <w:sz w:val="28"/>
          <w:szCs w:val="28"/>
        </w:rPr>
        <w:t xml:space="preserve"> 141 </w:t>
      </w:r>
      <w:proofErr w:type="spellStart"/>
      <w:r>
        <w:rPr>
          <w:sz w:val="28"/>
          <w:szCs w:val="28"/>
        </w:rPr>
        <w:t>fletëparaqitje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cilave</w:t>
      </w:r>
      <w:proofErr w:type="spellEnd"/>
      <w:r>
        <w:rPr>
          <w:sz w:val="28"/>
          <w:szCs w:val="28"/>
        </w:rPr>
        <w:t xml:space="preserve"> 102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kundërvajtje</w:t>
      </w:r>
      <w:proofErr w:type="spellEnd"/>
      <w:r>
        <w:rPr>
          <w:sz w:val="28"/>
          <w:szCs w:val="28"/>
        </w:rPr>
        <w:t xml:space="preserve">, 24 </w:t>
      </w:r>
      <w:proofErr w:type="spellStart"/>
      <w:r>
        <w:rPr>
          <w:sz w:val="28"/>
          <w:szCs w:val="28"/>
        </w:rPr>
        <w:t>penale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transport.</w:t>
      </w:r>
      <w:proofErr w:type="gramEnd"/>
      <w:r>
        <w:rPr>
          <w:sz w:val="28"/>
          <w:szCs w:val="28"/>
        </w:rPr>
        <w:t xml:space="preserve"> </w:t>
      </w:r>
    </w:p>
    <w:p w:rsidR="00D74CB6" w:rsidRDefault="00D74CB6" w:rsidP="00D74CB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periudhë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mujore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pasur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raste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konfiskimit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prej</w:t>
      </w:r>
      <w:proofErr w:type="spellEnd"/>
      <w:r>
        <w:rPr>
          <w:sz w:val="28"/>
          <w:szCs w:val="28"/>
        </w:rPr>
        <w:t xml:space="preserve"> 79.36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  <w:proofErr w:type="gramEnd"/>
    </w:p>
    <w:p w:rsidR="00D74CB6" w:rsidRDefault="00D74CB6" w:rsidP="00D74CB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koordinim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Drejtorinë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Rajonale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Pylltarisë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planifikuar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bëjmë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rrallimin</w:t>
      </w:r>
      <w:proofErr w:type="spellEnd"/>
      <w:r>
        <w:rPr>
          <w:sz w:val="28"/>
          <w:szCs w:val="28"/>
        </w:rPr>
        <w:t xml:space="preserve"> e 20 ha, </w:t>
      </w:r>
      <w:proofErr w:type="spellStart"/>
      <w:r>
        <w:rPr>
          <w:sz w:val="28"/>
          <w:szCs w:val="28"/>
        </w:rPr>
        <w:t>dhjetë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majën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gjelbërt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dhjetë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pjesën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Karadakut</w:t>
      </w:r>
      <w:proofErr w:type="spellEnd"/>
      <w:r>
        <w:rPr>
          <w:sz w:val="28"/>
          <w:szCs w:val="28"/>
        </w:rPr>
        <w:t>.</w:t>
      </w:r>
      <w:proofErr w:type="gramEnd"/>
    </w:p>
    <w:p w:rsidR="00D74CB6" w:rsidRDefault="00D74CB6" w:rsidP="00D74CB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Gjithashtu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planifikojmë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gjelbrimin</w:t>
      </w:r>
      <w:proofErr w:type="spellEnd"/>
      <w:r>
        <w:rPr>
          <w:sz w:val="28"/>
          <w:szCs w:val="28"/>
        </w:rPr>
        <w:t xml:space="preserve"> e 20 ha me </w:t>
      </w:r>
      <w:proofErr w:type="spellStart"/>
      <w:r>
        <w:rPr>
          <w:sz w:val="28"/>
          <w:szCs w:val="28"/>
        </w:rPr>
        <w:t>pishë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sipërfaqeve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zhveshura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vjeshtë</w:t>
      </w:r>
      <w:proofErr w:type="spellEnd"/>
      <w:r>
        <w:rPr>
          <w:sz w:val="28"/>
          <w:szCs w:val="28"/>
        </w:rPr>
        <w:t>.</w:t>
      </w:r>
      <w:proofErr w:type="gramEnd"/>
    </w:p>
    <w:p w:rsidR="00961B9A" w:rsidRDefault="00961B9A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Kemi </w:t>
      </w:r>
      <w:proofErr w:type="spellStart"/>
      <w:proofErr w:type="gramStart"/>
      <w:r>
        <w:rPr>
          <w:color w:val="000000"/>
          <w:sz w:val="28"/>
        </w:rPr>
        <w:t>inicuar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tenderimin</w:t>
      </w:r>
      <w:proofErr w:type="spellEnd"/>
      <w:proofErr w:type="gramEnd"/>
      <w:r>
        <w:rPr>
          <w:color w:val="000000"/>
          <w:sz w:val="28"/>
        </w:rPr>
        <w:t xml:space="preserve"> e </w:t>
      </w:r>
      <w:proofErr w:type="spellStart"/>
      <w:r>
        <w:rPr>
          <w:color w:val="000000"/>
          <w:sz w:val="28"/>
        </w:rPr>
        <w:t>katër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ngastrave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rekomanduara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nga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Agjensioni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pyjor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për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prerjën</w:t>
      </w:r>
      <w:proofErr w:type="spellEnd"/>
      <w:r>
        <w:rPr>
          <w:color w:val="000000"/>
          <w:sz w:val="28"/>
        </w:rPr>
        <w:t xml:space="preserve"> e </w:t>
      </w:r>
      <w:r w:rsidR="006049CC">
        <w:rPr>
          <w:color w:val="000000"/>
          <w:sz w:val="28"/>
        </w:rPr>
        <w:t>1605.40</w:t>
      </w:r>
      <w:r>
        <w:rPr>
          <w:color w:val="000000"/>
          <w:sz w:val="28"/>
        </w:rPr>
        <w:t xml:space="preserve"> m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masë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drusore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në</w:t>
      </w:r>
      <w:proofErr w:type="spellEnd"/>
      <w:r>
        <w:rPr>
          <w:color w:val="000000"/>
          <w:sz w:val="28"/>
        </w:rPr>
        <w:t xml:space="preserve"> tri zona </w:t>
      </w:r>
      <w:proofErr w:type="spellStart"/>
      <w:r>
        <w:rPr>
          <w:color w:val="000000"/>
          <w:sz w:val="28"/>
        </w:rPr>
        <w:t>kadastrale</w:t>
      </w:r>
      <w:proofErr w:type="spellEnd"/>
      <w:r>
        <w:rPr>
          <w:color w:val="000000"/>
          <w:sz w:val="28"/>
        </w:rPr>
        <w:t>.</w:t>
      </w:r>
    </w:p>
    <w:p w:rsidR="00961B9A" w:rsidRDefault="00961B9A" w:rsidP="00D74CB6">
      <w:pPr>
        <w:jc w:val="both"/>
        <w:rPr>
          <w:color w:val="000000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961B9A" w:rsidRPr="00961B9A" w:rsidTr="00961B9A">
        <w:trPr>
          <w:trHeight w:val="46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A" w:rsidRPr="00961B9A" w:rsidRDefault="00961B9A" w:rsidP="00961B9A">
            <w:pPr>
              <w:jc w:val="center"/>
              <w:rPr>
                <w:b/>
              </w:rPr>
            </w:pPr>
            <w:proofErr w:type="spellStart"/>
            <w:r w:rsidRPr="00961B9A">
              <w:rPr>
                <w:b/>
              </w:rPr>
              <w:t>Komuna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A" w:rsidRPr="00961B9A" w:rsidRDefault="00961B9A" w:rsidP="00961B9A">
            <w:pPr>
              <w:jc w:val="center"/>
              <w:rPr>
                <w:b/>
              </w:rPr>
            </w:pPr>
            <w:proofErr w:type="spellStart"/>
            <w:r w:rsidRPr="00961B9A">
              <w:rPr>
                <w:b/>
              </w:rPr>
              <w:t>Njësia</w:t>
            </w:r>
            <w:proofErr w:type="spellEnd"/>
            <w:r w:rsidRPr="00961B9A">
              <w:rPr>
                <w:b/>
              </w:rPr>
              <w:t xml:space="preserve"> </w:t>
            </w:r>
          </w:p>
          <w:p w:rsidR="00961B9A" w:rsidRPr="00961B9A" w:rsidRDefault="00961B9A" w:rsidP="00961B9A">
            <w:pPr>
              <w:jc w:val="center"/>
              <w:rPr>
                <w:b/>
              </w:rPr>
            </w:pPr>
            <w:proofErr w:type="spellStart"/>
            <w:r w:rsidRPr="00961B9A">
              <w:rPr>
                <w:b/>
              </w:rPr>
              <w:t>menaxhuese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A" w:rsidRPr="00961B9A" w:rsidRDefault="00961B9A" w:rsidP="00961B9A">
            <w:pPr>
              <w:jc w:val="center"/>
              <w:rPr>
                <w:b/>
              </w:rPr>
            </w:pPr>
            <w:proofErr w:type="spellStart"/>
            <w:r w:rsidRPr="00961B9A">
              <w:rPr>
                <w:b/>
              </w:rPr>
              <w:t>Ngastra</w:t>
            </w:r>
            <w:proofErr w:type="spellEnd"/>
            <w:r w:rsidRPr="00961B9A">
              <w:rPr>
                <w:b/>
              </w:rPr>
              <w:t xml:space="preserve"> </w:t>
            </w:r>
            <w:proofErr w:type="spellStart"/>
            <w:r w:rsidRPr="00961B9A">
              <w:rPr>
                <w:b/>
              </w:rPr>
              <w:t>nr</w:t>
            </w:r>
            <w:proofErr w:type="spellEnd"/>
            <w:r w:rsidRPr="00961B9A">
              <w:rPr>
                <w:b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A" w:rsidRPr="00961B9A" w:rsidRDefault="00961B9A" w:rsidP="00961B9A">
            <w:pPr>
              <w:jc w:val="center"/>
              <w:rPr>
                <w:b/>
              </w:rPr>
            </w:pPr>
            <w:proofErr w:type="spellStart"/>
            <w:r w:rsidRPr="00961B9A">
              <w:rPr>
                <w:b/>
              </w:rPr>
              <w:t>Sasia</w:t>
            </w:r>
            <w:proofErr w:type="spellEnd"/>
            <w:r w:rsidRPr="00961B9A">
              <w:rPr>
                <w:b/>
              </w:rPr>
              <w:t xml:space="preserve"> </w:t>
            </w:r>
            <w:proofErr w:type="spellStart"/>
            <w:r w:rsidRPr="00961B9A">
              <w:rPr>
                <w:b/>
              </w:rPr>
              <w:t>bruto</w:t>
            </w:r>
            <w:proofErr w:type="spellEnd"/>
            <w:r w:rsidRPr="00961B9A">
              <w:rPr>
                <w:b/>
              </w:rPr>
              <w:t xml:space="preserve"> ( m</w:t>
            </w:r>
            <w:r w:rsidRPr="00961B9A">
              <w:rPr>
                <w:b/>
                <w:vertAlign w:val="superscript"/>
              </w:rPr>
              <w:t xml:space="preserve">3 </w:t>
            </w:r>
            <w:r w:rsidRPr="00961B9A">
              <w:rPr>
                <w:b/>
              </w:rPr>
              <w:t>)</w:t>
            </w:r>
          </w:p>
        </w:tc>
      </w:tr>
      <w:tr w:rsidR="00961B9A" w:rsidRPr="00961B9A" w:rsidTr="00961B9A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proofErr w:type="spellStart"/>
            <w:r w:rsidRPr="00961B9A">
              <w:t>Gjilan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proofErr w:type="spellStart"/>
            <w:r w:rsidRPr="00961B9A">
              <w:t>Zhegocë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r w:rsidRPr="00961B9A">
              <w:t>2</w:t>
            </w:r>
          </w:p>
          <w:p w:rsidR="00961B9A" w:rsidRPr="00961B9A" w:rsidRDefault="00961B9A" w:rsidP="00961B9A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r w:rsidRPr="00961B9A">
              <w:t>601.20</w:t>
            </w:r>
          </w:p>
        </w:tc>
      </w:tr>
      <w:tr w:rsidR="00961B9A" w:rsidRPr="00961B9A" w:rsidTr="00961B9A">
        <w:trPr>
          <w:trHeight w:val="55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proofErr w:type="spellStart"/>
            <w:r w:rsidRPr="00961B9A">
              <w:t>Gjilan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9A" w:rsidRPr="00961B9A" w:rsidRDefault="00961B9A" w:rsidP="00961B9A">
            <w:pPr>
              <w:jc w:val="center"/>
            </w:pPr>
            <w:r w:rsidRPr="00961B9A">
              <w:t xml:space="preserve"> </w:t>
            </w:r>
          </w:p>
          <w:p w:rsidR="00961B9A" w:rsidRPr="00961B9A" w:rsidRDefault="00961B9A" w:rsidP="00961B9A">
            <w:pPr>
              <w:jc w:val="center"/>
            </w:pPr>
            <w:r w:rsidRPr="00961B9A">
              <w:t xml:space="preserve">Maja e </w:t>
            </w:r>
            <w:proofErr w:type="spellStart"/>
            <w:r w:rsidRPr="00961B9A">
              <w:t>gjelbër-Ponesh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r w:rsidRPr="00961B9A">
              <w:t xml:space="preserve">7 – </w:t>
            </w:r>
            <w:proofErr w:type="spellStart"/>
            <w:r w:rsidRPr="00961B9A">
              <w:t>Leshtar</w:t>
            </w:r>
            <w:proofErr w:type="spellEnd"/>
          </w:p>
          <w:p w:rsidR="00961B9A" w:rsidRPr="00961B9A" w:rsidRDefault="00961B9A" w:rsidP="00961B9A">
            <w:pPr>
              <w:jc w:val="center"/>
            </w:pPr>
            <w:proofErr w:type="spellStart"/>
            <w:r w:rsidRPr="00961B9A">
              <w:t>Prerje</w:t>
            </w:r>
            <w:proofErr w:type="spellEnd"/>
            <w:r w:rsidRPr="00961B9A">
              <w:t xml:space="preserve"> </w:t>
            </w:r>
            <w:proofErr w:type="spellStart"/>
            <w:r w:rsidRPr="00961B9A">
              <w:t>sanitare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  <w:r w:rsidRPr="00961B9A">
              <w:t xml:space="preserve"> </w:t>
            </w:r>
          </w:p>
          <w:p w:rsidR="00961B9A" w:rsidRPr="00961B9A" w:rsidRDefault="00961B9A" w:rsidP="00961B9A">
            <w:pPr>
              <w:jc w:val="center"/>
            </w:pPr>
            <w:r w:rsidRPr="00961B9A">
              <w:t>100.00</w:t>
            </w:r>
          </w:p>
          <w:p w:rsidR="00961B9A" w:rsidRPr="00961B9A" w:rsidRDefault="00961B9A" w:rsidP="00961B9A">
            <w:pPr>
              <w:jc w:val="center"/>
            </w:pPr>
          </w:p>
        </w:tc>
      </w:tr>
      <w:tr w:rsidR="00961B9A" w:rsidRPr="00961B9A" w:rsidTr="00961B9A">
        <w:trPr>
          <w:trHeight w:val="55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proofErr w:type="spellStart"/>
            <w:r w:rsidRPr="00961B9A">
              <w:t>Gjilan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r w:rsidRPr="00961B9A">
              <w:t xml:space="preserve">Maja e </w:t>
            </w:r>
            <w:proofErr w:type="spellStart"/>
            <w:r w:rsidRPr="00961B9A">
              <w:t>gjelbër</w:t>
            </w:r>
            <w:proofErr w:type="spellEnd"/>
            <w:r w:rsidRPr="00961B9A">
              <w:t xml:space="preserve"> – </w:t>
            </w:r>
            <w:proofErr w:type="spellStart"/>
            <w:r w:rsidRPr="00961B9A">
              <w:t>Ponesh</w:t>
            </w:r>
            <w:proofErr w:type="spellEnd"/>
          </w:p>
          <w:p w:rsidR="00961B9A" w:rsidRPr="00961B9A" w:rsidRDefault="00961B9A" w:rsidP="00961B9A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r w:rsidRPr="00961B9A">
              <w:t xml:space="preserve">7 – </w:t>
            </w:r>
            <w:proofErr w:type="spellStart"/>
            <w:r w:rsidRPr="00961B9A">
              <w:t>Leshtar</w:t>
            </w:r>
            <w:proofErr w:type="spellEnd"/>
          </w:p>
          <w:p w:rsidR="00961B9A" w:rsidRPr="00961B9A" w:rsidRDefault="00961B9A" w:rsidP="00961B9A">
            <w:pPr>
              <w:jc w:val="center"/>
            </w:pPr>
            <w:proofErr w:type="spellStart"/>
            <w:r w:rsidRPr="00961B9A">
              <w:t>Brez</w:t>
            </w:r>
            <w:proofErr w:type="spellEnd"/>
            <w:r w:rsidRPr="00961B9A">
              <w:t xml:space="preserve"> </w:t>
            </w:r>
            <w:proofErr w:type="spellStart"/>
            <w:r w:rsidRPr="00961B9A">
              <w:t>kundër</w:t>
            </w:r>
            <w:proofErr w:type="spellEnd"/>
            <w:r w:rsidRPr="00961B9A">
              <w:t xml:space="preserve"> </w:t>
            </w:r>
            <w:proofErr w:type="spellStart"/>
            <w:r w:rsidRPr="00961B9A">
              <w:t>zjarrit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r w:rsidRPr="00961B9A">
              <w:t>88.00</w:t>
            </w:r>
          </w:p>
        </w:tc>
      </w:tr>
      <w:tr w:rsidR="00961B9A" w:rsidRPr="00961B9A" w:rsidTr="00961B9A">
        <w:trPr>
          <w:trHeight w:val="7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proofErr w:type="spellStart"/>
            <w:r w:rsidRPr="00961B9A">
              <w:t>Gjilan</w:t>
            </w:r>
            <w:proofErr w:type="spellEnd"/>
          </w:p>
          <w:p w:rsidR="00961B9A" w:rsidRPr="00961B9A" w:rsidRDefault="00961B9A" w:rsidP="00961B9A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proofErr w:type="spellStart"/>
            <w:r w:rsidRPr="00961B9A">
              <w:t>Zhegocë</w:t>
            </w:r>
            <w:proofErr w:type="spellEnd"/>
            <w:r w:rsidRPr="00961B9A">
              <w:t xml:space="preserve">- </w:t>
            </w:r>
            <w:proofErr w:type="spellStart"/>
            <w:r w:rsidRPr="00961B9A">
              <w:t>Kishnapole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r w:rsidRPr="00961B9A">
              <w:t>60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9A" w:rsidRPr="00961B9A" w:rsidRDefault="00961B9A" w:rsidP="00961B9A">
            <w:pPr>
              <w:jc w:val="center"/>
            </w:pPr>
          </w:p>
          <w:p w:rsidR="00961B9A" w:rsidRPr="00961B9A" w:rsidRDefault="00961B9A" w:rsidP="00961B9A">
            <w:pPr>
              <w:jc w:val="center"/>
            </w:pPr>
            <w:r w:rsidRPr="00961B9A">
              <w:t>816.20</w:t>
            </w:r>
          </w:p>
        </w:tc>
      </w:tr>
    </w:tbl>
    <w:p w:rsidR="00EC4943" w:rsidRDefault="00EC4943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Sektori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Inspeksionit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për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Bujqësi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Veterinari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gjatë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kësaj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periudhe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këto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vizita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inspektuese</w:t>
      </w:r>
      <w:proofErr w:type="spellEnd"/>
      <w:r>
        <w:rPr>
          <w:sz w:val="28"/>
          <w:szCs w:val="28"/>
        </w:rPr>
        <w:t>:</w:t>
      </w:r>
    </w:p>
    <w:p w:rsidR="00D74CB6" w:rsidRDefault="00D74CB6" w:rsidP="00D74CB6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81"/>
        <w:gridCol w:w="3215"/>
      </w:tblGrid>
      <w:tr w:rsidR="00D74CB6" w:rsidTr="006049CC">
        <w:trPr>
          <w:trHeight w:val="440"/>
          <w:jc w:val="center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Lloji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kontrollës</w:t>
            </w:r>
            <w:proofErr w:type="spellEnd"/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Numri</w:t>
            </w:r>
            <w:proofErr w:type="spellEnd"/>
          </w:p>
        </w:tc>
      </w:tr>
      <w:tr w:rsidR="00D74CB6" w:rsidTr="006049CC">
        <w:trPr>
          <w:trHeight w:val="422"/>
          <w:jc w:val="center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Kontrollime</w:t>
            </w:r>
            <w:proofErr w:type="spellEnd"/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D74CB6" w:rsidTr="006049CC">
        <w:trPr>
          <w:trHeight w:val="422"/>
          <w:jc w:val="center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Procesverbale</w:t>
            </w:r>
            <w:proofErr w:type="spellEnd"/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D74CB6" w:rsidTr="006049CC">
        <w:trPr>
          <w:trHeight w:val="404"/>
          <w:jc w:val="center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Therrje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kafshëve</w:t>
            </w:r>
            <w:proofErr w:type="spellEnd"/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</w:tr>
      <w:tr w:rsidR="00D74CB6" w:rsidTr="006049CC">
        <w:trPr>
          <w:trHeight w:val="440"/>
          <w:jc w:val="center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Transport </w:t>
            </w:r>
            <w:proofErr w:type="spellStart"/>
            <w:r>
              <w:rPr>
                <w:sz w:val="28"/>
                <w:szCs w:val="28"/>
              </w:rPr>
              <w:t>të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kafshëve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gjalla</w:t>
            </w:r>
            <w:proofErr w:type="spellEnd"/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D74CB6" w:rsidTr="006049CC">
        <w:trPr>
          <w:trHeight w:val="491"/>
          <w:jc w:val="center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Denime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4CB6" w:rsidTr="006049CC">
        <w:trPr>
          <w:trHeight w:val="447"/>
          <w:jc w:val="center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Përgjigje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kërkesave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qytetarëve</w:t>
            </w:r>
            <w:proofErr w:type="spellEnd"/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74CB6" w:rsidTr="006049CC">
        <w:trPr>
          <w:trHeight w:val="633"/>
          <w:jc w:val="center"/>
        </w:trPr>
        <w:tc>
          <w:tcPr>
            <w:tcW w:w="5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Asistencë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zyres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regjionale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të</w:t>
            </w:r>
            <w:proofErr w:type="spellEnd"/>
            <w:r>
              <w:rPr>
                <w:sz w:val="28"/>
                <w:szCs w:val="28"/>
              </w:rPr>
              <w:t xml:space="preserve"> AUV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CB6" w:rsidRDefault="00D7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D74CB6" w:rsidRDefault="00D74CB6" w:rsidP="00D74CB6">
      <w:pPr>
        <w:jc w:val="both"/>
        <w:rPr>
          <w:sz w:val="28"/>
          <w:szCs w:val="28"/>
        </w:rPr>
      </w:pPr>
    </w:p>
    <w:p w:rsidR="006049CC" w:rsidRDefault="006049CC" w:rsidP="00D74CB6">
      <w:pPr>
        <w:jc w:val="both"/>
        <w:rPr>
          <w:sz w:val="28"/>
          <w:szCs w:val="28"/>
        </w:rPr>
      </w:pPr>
    </w:p>
    <w:p w:rsidR="00D74CB6" w:rsidRDefault="00D74CB6" w:rsidP="00D74CB6">
      <w:pPr>
        <w:jc w:val="center"/>
        <w:rPr>
          <w:sz w:val="28"/>
          <w:szCs w:val="28"/>
        </w:rPr>
      </w:pPr>
    </w:p>
    <w:p w:rsidR="00D74CB6" w:rsidRDefault="00D74CB6" w:rsidP="00D74CB6">
      <w:pPr>
        <w:jc w:val="center"/>
        <w:rPr>
          <w:sz w:val="28"/>
          <w:szCs w:val="28"/>
        </w:rPr>
      </w:pPr>
    </w:p>
    <w:p w:rsidR="00D74CB6" w:rsidRDefault="00D74CB6" w:rsidP="00D74CB6">
      <w:pPr>
        <w:jc w:val="center"/>
        <w:rPr>
          <w:sz w:val="28"/>
          <w:szCs w:val="28"/>
        </w:rPr>
      </w:pPr>
    </w:p>
    <w:p w:rsidR="00D74CB6" w:rsidRDefault="00D74CB6" w:rsidP="00D74CB6"/>
    <w:p w:rsidR="00D74CB6" w:rsidRDefault="00D74CB6" w:rsidP="00D74CB6"/>
    <w:p w:rsidR="009E4177" w:rsidRDefault="009E4177"/>
    <w:sectPr w:rsidR="009E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B6"/>
    <w:rsid w:val="000E186C"/>
    <w:rsid w:val="00333827"/>
    <w:rsid w:val="003D1AB6"/>
    <w:rsid w:val="006049CC"/>
    <w:rsid w:val="00961B9A"/>
    <w:rsid w:val="009B4826"/>
    <w:rsid w:val="009E4177"/>
    <w:rsid w:val="00AF5B46"/>
    <w:rsid w:val="00CF6F5F"/>
    <w:rsid w:val="00D74CB6"/>
    <w:rsid w:val="00E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20table1">
    <w:name w:val="normal_0020table1"/>
    <w:basedOn w:val="Normal"/>
    <w:rsid w:val="00D74CB6"/>
  </w:style>
  <w:style w:type="character" w:customStyle="1" w:styleId="normal0020tablechar">
    <w:name w:val="normal_0020table__char"/>
    <w:basedOn w:val="DefaultParagraphFont"/>
    <w:rsid w:val="00D74CB6"/>
  </w:style>
  <w:style w:type="table" w:styleId="TableGrid">
    <w:name w:val="Table Grid"/>
    <w:basedOn w:val="TableNormal"/>
    <w:uiPriority w:val="59"/>
    <w:rsid w:val="00D74C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B6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20table1">
    <w:name w:val="normal_0020table1"/>
    <w:basedOn w:val="Normal"/>
    <w:rsid w:val="00D74CB6"/>
  </w:style>
  <w:style w:type="character" w:customStyle="1" w:styleId="normal0020tablechar">
    <w:name w:val="normal_0020table__char"/>
    <w:basedOn w:val="DefaultParagraphFont"/>
    <w:rsid w:val="00D74CB6"/>
  </w:style>
  <w:style w:type="table" w:styleId="TableGrid">
    <w:name w:val="Table Grid"/>
    <w:basedOn w:val="TableNormal"/>
    <w:uiPriority w:val="59"/>
    <w:rsid w:val="00D74C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B6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dcterms:created xsi:type="dcterms:W3CDTF">2016-07-13T11:26:00Z</dcterms:created>
  <dcterms:modified xsi:type="dcterms:W3CDTF">2016-07-13T11:26:00Z</dcterms:modified>
</cp:coreProperties>
</file>