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2" w:rsidRPr="00BB4B87" w:rsidRDefault="00E57B92" w:rsidP="00BC463D">
      <w:pPr>
        <w:rPr>
          <w:b/>
          <w:sz w:val="22"/>
          <w:szCs w:val="22"/>
        </w:rPr>
      </w:pPr>
      <w:r w:rsidRPr="00BB4B87">
        <w:rPr>
          <w:sz w:val="22"/>
          <w:szCs w:val="22"/>
        </w:rPr>
        <w:t xml:space="preserve">                                                                        </w:t>
      </w:r>
    </w:p>
    <w:tbl>
      <w:tblPr>
        <w:tblW w:w="0" w:type="auto"/>
        <w:tblBorders>
          <w:bottom w:val="single" w:sz="4" w:space="0" w:color="auto"/>
        </w:tblBorders>
        <w:tblLook w:val="00A0"/>
      </w:tblPr>
      <w:tblGrid>
        <w:gridCol w:w="4068"/>
        <w:gridCol w:w="1530"/>
        <w:gridCol w:w="3258"/>
      </w:tblGrid>
      <w:tr w:rsidR="00E57B92" w:rsidRPr="00BB4B87" w:rsidTr="008208C2">
        <w:trPr>
          <w:trHeight w:val="1376"/>
        </w:trPr>
        <w:tc>
          <w:tcPr>
            <w:tcW w:w="4068" w:type="dxa"/>
          </w:tcPr>
          <w:p w:rsidR="00E57B92" w:rsidRPr="00BB4B87" w:rsidRDefault="00E57B92" w:rsidP="008208C2">
            <w:r w:rsidRPr="00BB4B87">
              <w:rPr>
                <w:sz w:val="22"/>
                <w:szCs w:val="22"/>
              </w:rPr>
              <w:t xml:space="preserve">      </w:t>
            </w:r>
            <w:r w:rsidRPr="00817DFF">
              <w:rPr>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tema%20(100px)" style="width:62.25pt;height:63pt;visibility:visible">
                  <v:imagedata r:id="rId7" o:title=""/>
                </v:shape>
              </w:pict>
            </w:r>
          </w:p>
        </w:tc>
        <w:tc>
          <w:tcPr>
            <w:tcW w:w="1530" w:type="dxa"/>
            <w:vMerge w:val="restart"/>
          </w:tcPr>
          <w:p w:rsidR="00E57B92" w:rsidRPr="00BB4B87" w:rsidRDefault="00E57B92" w:rsidP="008208C2"/>
        </w:tc>
        <w:tc>
          <w:tcPr>
            <w:tcW w:w="3258" w:type="dxa"/>
          </w:tcPr>
          <w:p w:rsidR="00E57B92" w:rsidRPr="00BB4B87" w:rsidRDefault="00E57B92" w:rsidP="008208C2">
            <w:r w:rsidRPr="00BB4B87">
              <w:rPr>
                <w:sz w:val="22"/>
                <w:szCs w:val="22"/>
              </w:rPr>
              <w:t xml:space="preserve">          </w:t>
            </w:r>
            <w:r w:rsidRPr="00817DFF">
              <w:rPr>
                <w:noProof/>
                <w:sz w:val="22"/>
                <w:szCs w:val="22"/>
                <w:lang w:val="en-US"/>
              </w:rPr>
              <w:pict>
                <v:shape id="Picture 2" o:spid="_x0000_i1026" type="#_x0000_t75" alt="Prova14" style="width:60.75pt;height:63.75pt;visibility:visible">
                  <v:imagedata r:id="rId8" o:title=""/>
                </v:shape>
              </w:pict>
            </w:r>
          </w:p>
          <w:p w:rsidR="00E57B92" w:rsidRPr="00BB4B87" w:rsidRDefault="00E57B92" w:rsidP="008208C2">
            <w:r w:rsidRPr="00BB4B87">
              <w:rPr>
                <w:sz w:val="22"/>
                <w:szCs w:val="22"/>
              </w:rPr>
              <w:t xml:space="preserve">  </w:t>
            </w:r>
          </w:p>
        </w:tc>
      </w:tr>
      <w:tr w:rsidR="00E57B92" w:rsidRPr="00BB4B87" w:rsidTr="008208C2">
        <w:tc>
          <w:tcPr>
            <w:tcW w:w="4068" w:type="dxa"/>
            <w:tcBorders>
              <w:bottom w:val="single" w:sz="4" w:space="0" w:color="auto"/>
            </w:tcBorders>
          </w:tcPr>
          <w:p w:rsidR="00E57B92" w:rsidRPr="00BB4B87" w:rsidRDefault="00E57B92" w:rsidP="008208C2">
            <w:pPr>
              <w:jc w:val="both"/>
            </w:pPr>
            <w:r w:rsidRPr="00BB4B87">
              <w:rPr>
                <w:sz w:val="22"/>
                <w:szCs w:val="22"/>
              </w:rPr>
              <w:t>REPUBLIKA E KOSOVËS</w:t>
            </w:r>
          </w:p>
          <w:p w:rsidR="00E57B92" w:rsidRPr="00BB4B87" w:rsidRDefault="00E57B92" w:rsidP="008208C2">
            <w:pPr>
              <w:jc w:val="both"/>
            </w:pPr>
            <w:r w:rsidRPr="00BB4B87">
              <w:rPr>
                <w:sz w:val="22"/>
                <w:szCs w:val="22"/>
              </w:rPr>
              <w:t>REPUBLIKA KOSOVA</w:t>
            </w:r>
          </w:p>
          <w:p w:rsidR="00E57B92" w:rsidRPr="00BB4B87" w:rsidRDefault="00E57B92" w:rsidP="008208C2">
            <w:pPr>
              <w:jc w:val="both"/>
            </w:pPr>
            <w:r w:rsidRPr="00BB4B87">
              <w:rPr>
                <w:sz w:val="22"/>
                <w:szCs w:val="22"/>
              </w:rPr>
              <w:t>REPUBLIC OF KOSOVO</w:t>
            </w:r>
          </w:p>
        </w:tc>
        <w:tc>
          <w:tcPr>
            <w:tcW w:w="1530" w:type="dxa"/>
            <w:vMerge/>
            <w:tcBorders>
              <w:bottom w:val="single" w:sz="4" w:space="0" w:color="auto"/>
            </w:tcBorders>
          </w:tcPr>
          <w:p w:rsidR="00E57B92" w:rsidRPr="00BB4B87" w:rsidRDefault="00E57B92" w:rsidP="008208C2"/>
        </w:tc>
        <w:tc>
          <w:tcPr>
            <w:tcW w:w="3258" w:type="dxa"/>
            <w:tcBorders>
              <w:bottom w:val="single" w:sz="4" w:space="0" w:color="auto"/>
            </w:tcBorders>
          </w:tcPr>
          <w:p w:rsidR="00E57B92" w:rsidRPr="00BB4B87" w:rsidRDefault="00E57B92" w:rsidP="008208C2">
            <w:pPr>
              <w:jc w:val="both"/>
            </w:pPr>
            <w:r w:rsidRPr="00BB4B87">
              <w:rPr>
                <w:sz w:val="22"/>
                <w:szCs w:val="22"/>
              </w:rPr>
              <w:t>KOMUNA E GJILANIT</w:t>
            </w:r>
          </w:p>
          <w:p w:rsidR="00E57B92" w:rsidRPr="00BB4B87" w:rsidRDefault="00E57B92" w:rsidP="008208C2">
            <w:pPr>
              <w:jc w:val="both"/>
            </w:pPr>
            <w:r w:rsidRPr="00BB4B87">
              <w:rPr>
                <w:sz w:val="22"/>
                <w:szCs w:val="22"/>
              </w:rPr>
              <w:t>OPŠTINA GNJILANE</w:t>
            </w:r>
          </w:p>
          <w:p w:rsidR="00E57B92" w:rsidRPr="00BB4B87" w:rsidRDefault="00E57B92" w:rsidP="008208C2">
            <w:pPr>
              <w:jc w:val="both"/>
            </w:pPr>
            <w:r w:rsidRPr="00BB4B87">
              <w:rPr>
                <w:sz w:val="22"/>
                <w:szCs w:val="22"/>
              </w:rPr>
              <w:t>MUNICIPALITY OF GJILAN</w:t>
            </w:r>
          </w:p>
          <w:p w:rsidR="00E57B92" w:rsidRPr="00BB4B87" w:rsidRDefault="00E57B92" w:rsidP="008208C2">
            <w:pPr>
              <w:jc w:val="both"/>
            </w:pPr>
            <w:r w:rsidRPr="00BB4B87">
              <w:rPr>
                <w:sz w:val="22"/>
                <w:szCs w:val="22"/>
              </w:rPr>
              <w:t>GILAN BELEDIYESI</w:t>
            </w:r>
          </w:p>
        </w:tc>
      </w:tr>
    </w:tbl>
    <w:p w:rsidR="00E57B92" w:rsidRPr="00BB4B87" w:rsidRDefault="00E57B92" w:rsidP="00BC463D">
      <w:pPr>
        <w:rPr>
          <w:b/>
          <w:sz w:val="22"/>
          <w:szCs w:val="22"/>
        </w:rPr>
      </w:pPr>
      <w:r w:rsidRPr="00BB4B87">
        <w:rPr>
          <w:b/>
          <w:sz w:val="22"/>
          <w:szCs w:val="22"/>
        </w:rPr>
        <w:t xml:space="preserve">                                                                           </w:t>
      </w:r>
    </w:p>
    <w:p w:rsidR="00E57B92" w:rsidRPr="00BB4B87" w:rsidRDefault="00E57B92" w:rsidP="004D49E0">
      <w:pPr>
        <w:jc w:val="right"/>
        <w:rPr>
          <w:sz w:val="22"/>
          <w:szCs w:val="22"/>
        </w:rPr>
      </w:pPr>
    </w:p>
    <w:p w:rsidR="00E57B92" w:rsidRPr="00BB4B87" w:rsidRDefault="00E57B92" w:rsidP="00BC463D">
      <w:pPr>
        <w:jc w:val="right"/>
        <w:rPr>
          <w:sz w:val="22"/>
          <w:szCs w:val="22"/>
        </w:rPr>
      </w:pPr>
      <w:r w:rsidRPr="00BB4B87">
        <w:rPr>
          <w:sz w:val="22"/>
          <w:szCs w:val="22"/>
        </w:rPr>
        <w:t xml:space="preserve"> </w:t>
      </w: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0111D" w:rsidRDefault="00E57B92" w:rsidP="004D49E0">
      <w:pPr>
        <w:pStyle w:val="Title"/>
        <w:rPr>
          <w:rFonts w:ascii="Times New Roman" w:hAnsi="Times New Roman"/>
        </w:rPr>
      </w:pPr>
      <w:r w:rsidRPr="00B0111D">
        <w:rPr>
          <w:rFonts w:ascii="Times New Roman" w:hAnsi="Times New Roman"/>
        </w:rPr>
        <w:t>Rregul</w:t>
      </w:r>
      <w:r>
        <w:rPr>
          <w:rFonts w:ascii="Times New Roman" w:hAnsi="Times New Roman"/>
        </w:rPr>
        <w:t>l</w:t>
      </w:r>
      <w:r w:rsidRPr="00B0111D">
        <w:rPr>
          <w:rFonts w:ascii="Times New Roman" w:hAnsi="Times New Roman"/>
        </w:rPr>
        <w:t>oren</w:t>
      </w:r>
    </w:p>
    <w:p w:rsidR="00E57B92" w:rsidRPr="00BC463D" w:rsidRDefault="00E57B92" w:rsidP="004D49E0">
      <w:pPr>
        <w:jc w:val="center"/>
        <w:rPr>
          <w:sz w:val="22"/>
          <w:szCs w:val="22"/>
        </w:rPr>
      </w:pPr>
      <w:r w:rsidRPr="00BC463D">
        <w:rPr>
          <w:sz w:val="22"/>
          <w:szCs w:val="22"/>
        </w:rPr>
        <w:t xml:space="preserve">për </w:t>
      </w:r>
      <w:r>
        <w:rPr>
          <w:sz w:val="22"/>
          <w:szCs w:val="22"/>
        </w:rPr>
        <w:t xml:space="preserve">harmonizimin </w:t>
      </w:r>
      <w:r w:rsidRPr="00BC463D">
        <w:rPr>
          <w:sz w:val="22"/>
          <w:szCs w:val="22"/>
        </w:rPr>
        <w:t xml:space="preserve">e rregullores për taksa, ngarkesa </w:t>
      </w:r>
    </w:p>
    <w:p w:rsidR="00E57B92" w:rsidRPr="00BC463D" w:rsidRDefault="00E57B92" w:rsidP="004D49E0">
      <w:pPr>
        <w:jc w:val="center"/>
        <w:rPr>
          <w:sz w:val="22"/>
          <w:szCs w:val="22"/>
        </w:rPr>
      </w:pPr>
      <w:r w:rsidRPr="00BC463D">
        <w:rPr>
          <w:sz w:val="22"/>
          <w:szCs w:val="22"/>
        </w:rPr>
        <w:t>dhe gjoba komunale 01. nr.</w:t>
      </w:r>
      <w:r>
        <w:rPr>
          <w:sz w:val="22"/>
          <w:szCs w:val="22"/>
        </w:rPr>
        <w:t xml:space="preserve"> </w:t>
      </w:r>
      <w:r w:rsidRPr="00BC463D">
        <w:rPr>
          <w:sz w:val="22"/>
          <w:szCs w:val="22"/>
        </w:rPr>
        <w:t>016-144322 e dt. 30.12.2014</w:t>
      </w:r>
    </w:p>
    <w:p w:rsidR="00E57B92" w:rsidRPr="00BB4B87" w:rsidRDefault="00E57B92" w:rsidP="004D49E0">
      <w:pPr>
        <w:jc w:val="cente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rPr>
          <w:sz w:val="22"/>
          <w:szCs w:val="22"/>
        </w:rPr>
      </w:pPr>
    </w:p>
    <w:p w:rsidR="00E57B92" w:rsidRPr="00BB4B87" w:rsidRDefault="00E57B92" w:rsidP="00BC463D">
      <w:pPr>
        <w:jc w:val="center"/>
        <w:rPr>
          <w:b/>
          <w:sz w:val="22"/>
          <w:szCs w:val="22"/>
        </w:rPr>
      </w:pPr>
      <w:r w:rsidRPr="00BB4B87">
        <w:rPr>
          <w:b/>
          <w:sz w:val="22"/>
          <w:szCs w:val="22"/>
        </w:rPr>
        <w:t xml:space="preserve">Gjilan, </w:t>
      </w:r>
      <w:r>
        <w:rPr>
          <w:b/>
          <w:sz w:val="22"/>
          <w:szCs w:val="22"/>
        </w:rPr>
        <w:t xml:space="preserve">mars </w:t>
      </w:r>
      <w:r w:rsidRPr="00BB4B87">
        <w:rPr>
          <w:b/>
          <w:sz w:val="22"/>
          <w:szCs w:val="22"/>
        </w:rPr>
        <w:t xml:space="preserve"> 201</w:t>
      </w:r>
      <w:r>
        <w:rPr>
          <w:b/>
          <w:sz w:val="22"/>
          <w:szCs w:val="22"/>
        </w:rPr>
        <w:t>5</w:t>
      </w:r>
    </w:p>
    <w:p w:rsidR="00E57B92" w:rsidRPr="00BB4B87" w:rsidRDefault="00E57B92" w:rsidP="00BC463D">
      <w:pPr>
        <w:rPr>
          <w:b/>
          <w:sz w:val="22"/>
          <w:szCs w:val="22"/>
        </w:rPr>
      </w:pPr>
    </w:p>
    <w:p w:rsidR="00E57B92" w:rsidRPr="00BB4B87" w:rsidRDefault="00E57B92" w:rsidP="00BC463D">
      <w:pPr>
        <w:jc w:val="both"/>
        <w:rPr>
          <w:sz w:val="22"/>
          <w:szCs w:val="22"/>
        </w:rPr>
      </w:pPr>
      <w:r w:rsidRPr="00BB4B87">
        <w:rPr>
          <w:sz w:val="22"/>
          <w:szCs w:val="22"/>
        </w:rPr>
        <w:t xml:space="preserve">Në bazë të nenit 12.2 pika c), të Ligjit nr. 03/L-040 për Vetëqeverisjen e Lokale (Gazeta Zyrtare e Republikës së Kosovës nr. 28 të datës 4 qershor 2008) dhe nenit 38 paragrafi 1.3 të Statutit të Komunës së Gjilanit 01. nr. </w:t>
      </w:r>
      <w:r w:rsidRPr="00BB4B87">
        <w:t xml:space="preserve">016-126211 </w:t>
      </w:r>
      <w:r w:rsidRPr="00BB4B87">
        <w:rPr>
          <w:sz w:val="22"/>
          <w:szCs w:val="22"/>
        </w:rPr>
        <w:t xml:space="preserve">të dt. 06.11.2014 dhe në zbatim të dispozitave të kreut II të Ligjit nr. 03/L-049 për Financat e Pushtetit Lokal (Gazeta zyrtare e Republikës së Kosovës nr. 27 e datës 03.06.2008), Kuvendi i Komunës së Gjilanit, në mbledhjen e mbajtur më datën </w:t>
      </w:r>
      <w:r>
        <w:rPr>
          <w:b/>
          <w:sz w:val="22"/>
          <w:szCs w:val="22"/>
        </w:rPr>
        <w:t>11.03.2015</w:t>
      </w:r>
      <w:r w:rsidRPr="00BB4B87">
        <w:rPr>
          <w:sz w:val="22"/>
          <w:szCs w:val="22"/>
        </w:rPr>
        <w:t>, miraton:</w:t>
      </w:r>
    </w:p>
    <w:p w:rsidR="00E57B92" w:rsidRPr="00BB4B87" w:rsidRDefault="00E57B92" w:rsidP="00BC463D">
      <w:pPr>
        <w:jc w:val="center"/>
        <w:rPr>
          <w:sz w:val="22"/>
          <w:szCs w:val="22"/>
        </w:rPr>
      </w:pPr>
    </w:p>
    <w:p w:rsidR="00E57B92" w:rsidRPr="00B0111D" w:rsidRDefault="00E57B92" w:rsidP="00BC463D">
      <w:pPr>
        <w:pStyle w:val="Title"/>
        <w:rPr>
          <w:rFonts w:ascii="Times New Roman" w:hAnsi="Times New Roman"/>
        </w:rPr>
      </w:pPr>
      <w:r w:rsidRPr="00B0111D">
        <w:rPr>
          <w:rFonts w:ascii="Times New Roman" w:hAnsi="Times New Roman"/>
        </w:rPr>
        <w:t>Rregul</w:t>
      </w:r>
      <w:r>
        <w:rPr>
          <w:rFonts w:ascii="Times New Roman" w:hAnsi="Times New Roman"/>
        </w:rPr>
        <w:t>l</w:t>
      </w:r>
      <w:r w:rsidRPr="00B0111D">
        <w:rPr>
          <w:rFonts w:ascii="Times New Roman" w:hAnsi="Times New Roman"/>
        </w:rPr>
        <w:t>oren</w:t>
      </w:r>
    </w:p>
    <w:p w:rsidR="00E57B92" w:rsidRPr="00BC463D" w:rsidRDefault="00E57B92" w:rsidP="00BC463D">
      <w:pPr>
        <w:jc w:val="center"/>
        <w:rPr>
          <w:sz w:val="22"/>
          <w:szCs w:val="22"/>
        </w:rPr>
      </w:pPr>
      <w:r w:rsidRPr="00BC463D">
        <w:rPr>
          <w:sz w:val="22"/>
          <w:szCs w:val="22"/>
        </w:rPr>
        <w:t xml:space="preserve">për </w:t>
      </w:r>
      <w:r>
        <w:rPr>
          <w:sz w:val="22"/>
          <w:szCs w:val="22"/>
        </w:rPr>
        <w:t xml:space="preserve">harmonizimin </w:t>
      </w:r>
      <w:r w:rsidRPr="00BC463D">
        <w:rPr>
          <w:sz w:val="22"/>
          <w:szCs w:val="22"/>
        </w:rPr>
        <w:t xml:space="preserve">e rregullores për taksa, ngarkesa </w:t>
      </w:r>
    </w:p>
    <w:p w:rsidR="00E57B92" w:rsidRPr="00BC463D" w:rsidRDefault="00E57B92" w:rsidP="00BC463D">
      <w:pPr>
        <w:jc w:val="center"/>
        <w:rPr>
          <w:sz w:val="22"/>
          <w:szCs w:val="22"/>
        </w:rPr>
      </w:pPr>
      <w:r w:rsidRPr="00BC463D">
        <w:rPr>
          <w:sz w:val="22"/>
          <w:szCs w:val="22"/>
        </w:rPr>
        <w:t>dhe gjoba komunale 01. nr.</w:t>
      </w:r>
      <w:r>
        <w:rPr>
          <w:sz w:val="22"/>
          <w:szCs w:val="22"/>
        </w:rPr>
        <w:t xml:space="preserve"> </w:t>
      </w:r>
      <w:r w:rsidRPr="00BC463D">
        <w:rPr>
          <w:sz w:val="22"/>
          <w:szCs w:val="22"/>
        </w:rPr>
        <w:t>016-144322 e dt. 30.12.2014</w:t>
      </w:r>
    </w:p>
    <w:p w:rsidR="00E57B92" w:rsidRPr="00BB4B87" w:rsidRDefault="00E57B92" w:rsidP="00BC463D">
      <w:pPr>
        <w:jc w:val="center"/>
        <w:rPr>
          <w:sz w:val="22"/>
          <w:szCs w:val="22"/>
        </w:rPr>
      </w:pPr>
    </w:p>
    <w:p w:rsidR="00E57B92" w:rsidRPr="00BB4B87" w:rsidRDefault="00E57B92" w:rsidP="00BC463D">
      <w:pPr>
        <w:jc w:val="center"/>
        <w:rPr>
          <w:b/>
          <w:sz w:val="22"/>
          <w:szCs w:val="22"/>
        </w:rPr>
      </w:pPr>
      <w:r w:rsidRPr="00BB4B87">
        <w:rPr>
          <w:b/>
          <w:sz w:val="22"/>
          <w:szCs w:val="22"/>
        </w:rPr>
        <w:t>Neni 1</w:t>
      </w:r>
    </w:p>
    <w:p w:rsidR="00E57B92" w:rsidRPr="00BB4B87" w:rsidRDefault="00E57B92" w:rsidP="00BC463D">
      <w:pPr>
        <w:jc w:val="center"/>
        <w:rPr>
          <w:sz w:val="22"/>
          <w:szCs w:val="22"/>
        </w:rPr>
      </w:pPr>
      <w:r w:rsidRPr="00BB4B87">
        <w:rPr>
          <w:sz w:val="22"/>
          <w:szCs w:val="22"/>
        </w:rPr>
        <w:t>Qëllimi</w:t>
      </w:r>
    </w:p>
    <w:p w:rsidR="00E57B92" w:rsidRPr="00BB4B87" w:rsidRDefault="00E57B92" w:rsidP="00BC463D">
      <w:pPr>
        <w:jc w:val="center"/>
        <w:rPr>
          <w:sz w:val="22"/>
          <w:szCs w:val="22"/>
        </w:rPr>
      </w:pPr>
    </w:p>
    <w:p w:rsidR="00E57B92" w:rsidRPr="00BB4B87" w:rsidRDefault="00E57B92" w:rsidP="00BC463D">
      <w:pPr>
        <w:jc w:val="both"/>
        <w:rPr>
          <w:sz w:val="22"/>
          <w:szCs w:val="22"/>
        </w:rPr>
      </w:pPr>
      <w:r w:rsidRPr="00BB4B87">
        <w:rPr>
          <w:sz w:val="22"/>
          <w:szCs w:val="22"/>
        </w:rPr>
        <w:t xml:space="preserve">Kjo rregullore ka për </w:t>
      </w:r>
      <w:r>
        <w:rPr>
          <w:sz w:val="22"/>
          <w:szCs w:val="22"/>
        </w:rPr>
        <w:t xml:space="preserve">qellim harmonizimin e nenit 3 pika 1 të Rregullores për taksa, ngarkesa dhe gjoba komunale </w:t>
      </w:r>
      <w:r w:rsidRPr="00BB4B87">
        <w:rPr>
          <w:sz w:val="22"/>
          <w:szCs w:val="22"/>
        </w:rPr>
        <w:t xml:space="preserve">01. </w:t>
      </w:r>
      <w:r w:rsidRPr="00BB4B87">
        <w:rPr>
          <w:bCs/>
          <w:sz w:val="22"/>
          <w:szCs w:val="22"/>
        </w:rPr>
        <w:t xml:space="preserve">nr. </w:t>
      </w:r>
      <w:r w:rsidRPr="00BB4B87">
        <w:rPr>
          <w:sz w:val="22"/>
          <w:szCs w:val="22"/>
        </w:rPr>
        <w:t>016-</w:t>
      </w:r>
      <w:r>
        <w:rPr>
          <w:sz w:val="22"/>
          <w:szCs w:val="22"/>
        </w:rPr>
        <w:t>144322</w:t>
      </w:r>
      <w:r w:rsidRPr="00BB4B87">
        <w:rPr>
          <w:sz w:val="22"/>
          <w:szCs w:val="22"/>
        </w:rPr>
        <w:t xml:space="preserve"> </w:t>
      </w:r>
      <w:r>
        <w:rPr>
          <w:bCs/>
          <w:sz w:val="22"/>
          <w:szCs w:val="22"/>
        </w:rPr>
        <w:t>të 30</w:t>
      </w:r>
      <w:r w:rsidRPr="00BB4B87">
        <w:rPr>
          <w:sz w:val="22"/>
          <w:szCs w:val="22"/>
        </w:rPr>
        <w:t>.</w:t>
      </w:r>
      <w:r>
        <w:rPr>
          <w:sz w:val="22"/>
          <w:szCs w:val="22"/>
        </w:rPr>
        <w:t>12</w:t>
      </w:r>
      <w:r w:rsidRPr="00BB4B87">
        <w:rPr>
          <w:sz w:val="22"/>
          <w:szCs w:val="22"/>
        </w:rPr>
        <w:t>.2014.</w:t>
      </w:r>
    </w:p>
    <w:p w:rsidR="00E57B92" w:rsidRPr="00BB4B87" w:rsidRDefault="00E57B92" w:rsidP="00BC463D">
      <w:pPr>
        <w:jc w:val="both"/>
        <w:rPr>
          <w:sz w:val="22"/>
          <w:szCs w:val="22"/>
        </w:rPr>
      </w:pPr>
    </w:p>
    <w:p w:rsidR="00E57B92" w:rsidRPr="00BB4B87" w:rsidRDefault="00E57B92" w:rsidP="00BC463D">
      <w:pPr>
        <w:jc w:val="center"/>
        <w:rPr>
          <w:b/>
          <w:sz w:val="22"/>
          <w:szCs w:val="22"/>
        </w:rPr>
      </w:pPr>
      <w:r w:rsidRPr="00BB4B87">
        <w:rPr>
          <w:b/>
          <w:sz w:val="22"/>
          <w:szCs w:val="22"/>
        </w:rPr>
        <w:t>Neni 2</w:t>
      </w:r>
    </w:p>
    <w:p w:rsidR="00E57B92" w:rsidRPr="00BB4B87" w:rsidRDefault="00E57B92" w:rsidP="00BC463D">
      <w:pPr>
        <w:rPr>
          <w:b/>
          <w:sz w:val="22"/>
          <w:szCs w:val="22"/>
        </w:rPr>
      </w:pPr>
    </w:p>
    <w:p w:rsidR="00E57B92" w:rsidRPr="003371E4" w:rsidRDefault="00E57B92" w:rsidP="00BC463D">
      <w:pPr>
        <w:jc w:val="both"/>
        <w:rPr>
          <w:b/>
        </w:rPr>
      </w:pPr>
      <w:r w:rsidRPr="003371E4">
        <w:rPr>
          <w:b/>
        </w:rPr>
        <w:t xml:space="preserve">Te neni 3 paragrafi 1 i rregullores mbi plotësimin dhe ndryshimin e rregullores fjala “Kompani” zëvendësohet me fjalën “ndërmarrje’ dhe të gjitha emërtimet e përdorura në tekstin e taksave fshihen. </w:t>
      </w:r>
    </w:p>
    <w:p w:rsidR="00E57B92" w:rsidRPr="003371E4" w:rsidRDefault="00E57B92" w:rsidP="00BC463D">
      <w:pPr>
        <w:jc w:val="both"/>
        <w:rPr>
          <w:b/>
        </w:rPr>
      </w:pPr>
    </w:p>
    <w:p w:rsidR="00E57B92" w:rsidRPr="003371E4" w:rsidRDefault="00E57B92" w:rsidP="00BC463D">
      <w:pPr>
        <w:pStyle w:val="ListParagraph"/>
        <w:numPr>
          <w:ilvl w:val="0"/>
          <w:numId w:val="10"/>
        </w:numPr>
        <w:contextualSpacing/>
        <w:jc w:val="both"/>
        <w:rPr>
          <w:b/>
        </w:rPr>
      </w:pPr>
      <w:r w:rsidRPr="003371E4">
        <w:rPr>
          <w:b/>
        </w:rPr>
        <w:t>Tarifa nr. 12 fshihet</w:t>
      </w:r>
    </w:p>
    <w:p w:rsidR="00E57B92" w:rsidRPr="003371E4" w:rsidRDefault="00E57B92" w:rsidP="00BC463D">
      <w:pPr>
        <w:pStyle w:val="ListParagraph"/>
        <w:numPr>
          <w:ilvl w:val="0"/>
          <w:numId w:val="10"/>
        </w:numPr>
        <w:contextualSpacing/>
        <w:jc w:val="both"/>
        <w:rPr>
          <w:b/>
        </w:rPr>
      </w:pPr>
      <w:r w:rsidRPr="003371E4">
        <w:rPr>
          <w:b/>
        </w:rPr>
        <w:t>Tarifa 13 fshihet fjala “prej  200-300m</w:t>
      </w:r>
      <w:r w:rsidRPr="003371E4">
        <w:rPr>
          <w:b/>
          <w:vertAlign w:val="superscript"/>
        </w:rPr>
        <w:t>2</w:t>
      </w:r>
    </w:p>
    <w:p w:rsidR="00E57B92" w:rsidRPr="003371E4" w:rsidRDefault="00E57B92" w:rsidP="00BC463D">
      <w:pPr>
        <w:pStyle w:val="ListParagraph"/>
        <w:numPr>
          <w:ilvl w:val="0"/>
          <w:numId w:val="10"/>
        </w:numPr>
        <w:contextualSpacing/>
        <w:jc w:val="both"/>
        <w:rPr>
          <w:b/>
        </w:rPr>
      </w:pPr>
      <w:r w:rsidRPr="003371E4">
        <w:rPr>
          <w:b/>
        </w:rPr>
        <w:t>Tarifa nr. 14 fshihet</w:t>
      </w:r>
    </w:p>
    <w:p w:rsidR="00E57B92" w:rsidRPr="003371E4" w:rsidRDefault="00E57B92" w:rsidP="00BC463D">
      <w:pPr>
        <w:pStyle w:val="ListParagraph"/>
        <w:numPr>
          <w:ilvl w:val="0"/>
          <w:numId w:val="10"/>
        </w:numPr>
        <w:contextualSpacing/>
        <w:jc w:val="both"/>
        <w:rPr>
          <w:b/>
        </w:rPr>
      </w:pPr>
      <w:r w:rsidRPr="003371E4">
        <w:rPr>
          <w:b/>
        </w:rPr>
        <w:t>Tarifa nr. 15  dhe vlera e tarifës  “500” zëvendësohet me “400”</w:t>
      </w:r>
    </w:p>
    <w:p w:rsidR="00E57B92" w:rsidRPr="003371E4" w:rsidRDefault="00E57B92" w:rsidP="00BC463D">
      <w:pPr>
        <w:pStyle w:val="ListParagraph"/>
        <w:numPr>
          <w:ilvl w:val="0"/>
          <w:numId w:val="10"/>
        </w:numPr>
        <w:contextualSpacing/>
        <w:jc w:val="both"/>
        <w:rPr>
          <w:b/>
        </w:rPr>
      </w:pPr>
      <w:r w:rsidRPr="003371E4">
        <w:rPr>
          <w:b/>
        </w:rPr>
        <w:t>Tarifa nr. 16 fjala “mbi 500m</w:t>
      </w:r>
      <w:r w:rsidRPr="003371E4">
        <w:rPr>
          <w:b/>
          <w:vertAlign w:val="superscript"/>
        </w:rPr>
        <w:t>2</w:t>
      </w:r>
      <w:r w:rsidRPr="003371E4">
        <w:rPr>
          <w:b/>
        </w:rPr>
        <w:t>” fshihet dhe vlera e tarifës “1000” zëvendësohet me “800”</w:t>
      </w:r>
    </w:p>
    <w:p w:rsidR="00E57B92" w:rsidRPr="003371E4" w:rsidRDefault="00E57B92" w:rsidP="00BC463D">
      <w:pPr>
        <w:pStyle w:val="ListParagraph"/>
        <w:numPr>
          <w:ilvl w:val="0"/>
          <w:numId w:val="10"/>
        </w:numPr>
        <w:contextualSpacing/>
        <w:jc w:val="both"/>
        <w:rPr>
          <w:b/>
        </w:rPr>
      </w:pPr>
      <w:r w:rsidRPr="003371E4">
        <w:rPr>
          <w:b/>
        </w:rPr>
        <w:t>Tarifa nr. 20 fjala 200-300m</w:t>
      </w:r>
      <w:r w:rsidRPr="003371E4">
        <w:rPr>
          <w:b/>
          <w:vertAlign w:val="superscript"/>
        </w:rPr>
        <w:t>2</w:t>
      </w:r>
      <w:r w:rsidRPr="003371E4">
        <w:rPr>
          <w:b/>
        </w:rPr>
        <w:t xml:space="preserve"> fshihet dhe vlera e tarifës “300” zëvendësohet me “200”</w:t>
      </w:r>
    </w:p>
    <w:p w:rsidR="00E57B92" w:rsidRPr="003371E4" w:rsidRDefault="00E57B92" w:rsidP="00BC463D">
      <w:pPr>
        <w:pStyle w:val="ListParagraph"/>
        <w:numPr>
          <w:ilvl w:val="0"/>
          <w:numId w:val="10"/>
        </w:numPr>
        <w:contextualSpacing/>
        <w:jc w:val="both"/>
        <w:rPr>
          <w:b/>
        </w:rPr>
      </w:pPr>
      <w:r w:rsidRPr="003371E4">
        <w:rPr>
          <w:b/>
        </w:rPr>
        <w:t xml:space="preserve">Tarifa nr. 21 fshihet. </w:t>
      </w:r>
    </w:p>
    <w:p w:rsidR="00E57B92" w:rsidRPr="003371E4" w:rsidRDefault="00E57B92" w:rsidP="00BC463D">
      <w:pPr>
        <w:pStyle w:val="ListParagraph"/>
        <w:numPr>
          <w:ilvl w:val="0"/>
          <w:numId w:val="10"/>
        </w:numPr>
        <w:contextualSpacing/>
        <w:jc w:val="both"/>
        <w:rPr>
          <w:b/>
        </w:rPr>
      </w:pPr>
      <w:r w:rsidRPr="003371E4">
        <w:rPr>
          <w:b/>
        </w:rPr>
        <w:t>Tarifa nr. 22, vlera e tarifës “500” zëvendësohet me “400”</w:t>
      </w:r>
    </w:p>
    <w:p w:rsidR="00E57B92" w:rsidRPr="003371E4" w:rsidRDefault="00E57B92" w:rsidP="00BC463D">
      <w:pPr>
        <w:pStyle w:val="ListParagraph"/>
        <w:numPr>
          <w:ilvl w:val="0"/>
          <w:numId w:val="10"/>
        </w:numPr>
        <w:contextualSpacing/>
        <w:jc w:val="both"/>
        <w:rPr>
          <w:b/>
        </w:rPr>
      </w:pPr>
      <w:r w:rsidRPr="003371E4">
        <w:rPr>
          <w:b/>
        </w:rPr>
        <w:t>Tarifa nr. 23, vlera e tarifës “400” zëvendësohet me “300”.</w:t>
      </w:r>
    </w:p>
    <w:p w:rsidR="00E57B92" w:rsidRPr="003371E4" w:rsidRDefault="00E57B92" w:rsidP="00BC463D">
      <w:pPr>
        <w:pStyle w:val="ListParagraph"/>
        <w:numPr>
          <w:ilvl w:val="0"/>
          <w:numId w:val="10"/>
        </w:numPr>
        <w:contextualSpacing/>
        <w:jc w:val="both"/>
        <w:rPr>
          <w:b/>
        </w:rPr>
      </w:pPr>
    </w:p>
    <w:p w:rsidR="00E57B92" w:rsidRPr="003371E4" w:rsidRDefault="00E57B92" w:rsidP="00BC463D">
      <w:pPr>
        <w:jc w:val="both"/>
        <w:rPr>
          <w:b/>
        </w:rPr>
      </w:pPr>
    </w:p>
    <w:p w:rsidR="00E57B92" w:rsidRDefault="00E57B92" w:rsidP="00BC463D">
      <w:pPr>
        <w:jc w:val="both"/>
        <w:rPr>
          <w:b/>
        </w:rPr>
      </w:pPr>
      <w:r>
        <w:rPr>
          <w:b/>
        </w:rPr>
        <w:t>Tarifat pas harmonizimit:</w:t>
      </w:r>
    </w:p>
    <w:p w:rsidR="00E57B92" w:rsidRDefault="00E57B92" w:rsidP="00BC463D">
      <w:pPr>
        <w:jc w:val="both"/>
        <w:rPr>
          <w:b/>
        </w:rPr>
      </w:pPr>
    </w:p>
    <w:p w:rsidR="00E57B92" w:rsidRDefault="00E57B92" w:rsidP="00BC463D">
      <w:pPr>
        <w:jc w:val="both"/>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7263"/>
        <w:gridCol w:w="1260"/>
      </w:tblGrid>
      <w:tr w:rsidR="00E57B92" w:rsidRPr="00BB4B87" w:rsidTr="008208C2">
        <w:tc>
          <w:tcPr>
            <w:tcW w:w="657" w:type="dxa"/>
          </w:tcPr>
          <w:p w:rsidR="00E57B92" w:rsidRPr="00BB4B87" w:rsidRDefault="00E57B92" w:rsidP="008208C2">
            <w:pPr>
              <w:rPr>
                <w:sz w:val="20"/>
                <w:szCs w:val="20"/>
              </w:rPr>
            </w:pPr>
            <w:r w:rsidRPr="00BB4B87">
              <w:rPr>
                <w:sz w:val="20"/>
                <w:szCs w:val="20"/>
              </w:rPr>
              <w:t>N/r</w:t>
            </w:r>
          </w:p>
        </w:tc>
        <w:tc>
          <w:tcPr>
            <w:tcW w:w="7263" w:type="dxa"/>
          </w:tcPr>
          <w:p w:rsidR="00E57B92" w:rsidRPr="00BB4B87" w:rsidRDefault="00E57B92" w:rsidP="008208C2">
            <w:pPr>
              <w:rPr>
                <w:sz w:val="20"/>
                <w:szCs w:val="20"/>
              </w:rPr>
            </w:pPr>
            <w:r w:rsidRPr="00BB4B87">
              <w:rPr>
                <w:bCs/>
                <w:sz w:val="20"/>
                <w:szCs w:val="20"/>
              </w:rPr>
              <w:t>V e p r i m t a r i t ë/a f a r i s t e</w:t>
            </w:r>
          </w:p>
        </w:tc>
        <w:tc>
          <w:tcPr>
            <w:tcW w:w="1260" w:type="dxa"/>
          </w:tcPr>
          <w:p w:rsidR="00E57B92" w:rsidRPr="00BB4B87" w:rsidRDefault="00E57B92" w:rsidP="008208C2">
            <w:pPr>
              <w:jc w:val="center"/>
              <w:rPr>
                <w:sz w:val="20"/>
                <w:szCs w:val="20"/>
              </w:rPr>
            </w:pPr>
            <w:r w:rsidRPr="00BB4B87">
              <w:rPr>
                <w:sz w:val="20"/>
                <w:szCs w:val="20"/>
              </w:rPr>
              <w:t>Taksa &amp; tarifa  €</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1.</w:t>
            </w:r>
          </w:p>
        </w:tc>
        <w:tc>
          <w:tcPr>
            <w:tcW w:w="7263" w:type="dxa"/>
            <w:vAlign w:val="bottom"/>
          </w:tcPr>
          <w:p w:rsidR="00E57B92" w:rsidRPr="00114E3B" w:rsidRDefault="00E57B92" w:rsidP="008208C2">
            <w:pPr>
              <w:shd w:val="clear" w:color="auto" w:fill="FFFFFF"/>
              <w:rPr>
                <w:sz w:val="20"/>
                <w:szCs w:val="20"/>
              </w:rPr>
            </w:pPr>
            <w:r>
              <w:rPr>
                <w:sz w:val="20"/>
                <w:szCs w:val="20"/>
              </w:rPr>
              <w:t xml:space="preserve">Ndërmarrjet </w:t>
            </w:r>
            <w:r w:rsidRPr="00114E3B">
              <w:rPr>
                <w:sz w:val="20"/>
                <w:szCs w:val="20"/>
              </w:rPr>
              <w:t xml:space="preserve">publike </w:t>
            </w:r>
            <w:r>
              <w:rPr>
                <w:sz w:val="20"/>
                <w:szCs w:val="20"/>
              </w:rPr>
              <w:t xml:space="preserve">regjionale për ofrim të shërbimeve për mbeturina dhe ujë </w:t>
            </w:r>
            <w:r w:rsidRPr="00114E3B">
              <w:rPr>
                <w:sz w:val="20"/>
                <w:szCs w:val="20"/>
              </w:rPr>
              <w:t xml:space="preserve"> </w:t>
            </w:r>
          </w:p>
        </w:tc>
        <w:tc>
          <w:tcPr>
            <w:tcW w:w="1260" w:type="dxa"/>
          </w:tcPr>
          <w:p w:rsidR="00E57B92" w:rsidRPr="00114E3B" w:rsidRDefault="00E57B92" w:rsidP="008208C2">
            <w:pPr>
              <w:jc w:val="right"/>
              <w:rPr>
                <w:sz w:val="20"/>
                <w:szCs w:val="20"/>
              </w:rPr>
            </w:pPr>
            <w:r w:rsidRPr="00114E3B">
              <w:rPr>
                <w:sz w:val="20"/>
                <w:szCs w:val="20"/>
              </w:rPr>
              <w:t>600.00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sidRPr="00BB4B87">
              <w:rPr>
                <w:b/>
                <w:sz w:val="20"/>
                <w:szCs w:val="20"/>
              </w:rPr>
              <w:t>2.</w:t>
            </w:r>
          </w:p>
        </w:tc>
        <w:tc>
          <w:tcPr>
            <w:tcW w:w="7263" w:type="dxa"/>
            <w:vAlign w:val="bottom"/>
          </w:tcPr>
          <w:p w:rsidR="00E57B92" w:rsidRPr="00AF2CB4" w:rsidRDefault="00E57B92" w:rsidP="008208C2">
            <w:pPr>
              <w:shd w:val="clear" w:color="auto" w:fill="FFFFFF"/>
              <w:rPr>
                <w:sz w:val="20"/>
                <w:szCs w:val="20"/>
              </w:rPr>
            </w:pPr>
            <w:r w:rsidRPr="00AF2CB4">
              <w:rPr>
                <w:sz w:val="20"/>
                <w:szCs w:val="20"/>
              </w:rPr>
              <w:t>Stacionet publike lokale për ofrim të shërbimeve për transporti</w:t>
            </w:r>
            <w:r>
              <w:rPr>
                <w:sz w:val="20"/>
                <w:szCs w:val="20"/>
              </w:rPr>
              <w:t>n e</w:t>
            </w:r>
            <w:r w:rsidRPr="00AF2CB4">
              <w:rPr>
                <w:sz w:val="20"/>
                <w:szCs w:val="20"/>
              </w:rPr>
              <w:t xml:space="preserve"> udhëtarëve </w:t>
            </w:r>
          </w:p>
        </w:tc>
        <w:tc>
          <w:tcPr>
            <w:tcW w:w="1260" w:type="dxa"/>
          </w:tcPr>
          <w:p w:rsidR="00E57B92" w:rsidRPr="00114E3B" w:rsidRDefault="00E57B92" w:rsidP="008208C2">
            <w:pPr>
              <w:jc w:val="right"/>
              <w:rPr>
                <w:sz w:val="20"/>
                <w:szCs w:val="20"/>
              </w:rPr>
            </w:pPr>
            <w:r w:rsidRPr="00114E3B">
              <w:rPr>
                <w:sz w:val="20"/>
                <w:szCs w:val="20"/>
              </w:rPr>
              <w:t>300.00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3.</w:t>
            </w:r>
          </w:p>
        </w:tc>
        <w:tc>
          <w:tcPr>
            <w:tcW w:w="7263" w:type="dxa"/>
            <w:vAlign w:val="bottom"/>
          </w:tcPr>
          <w:p w:rsidR="00E57B92" w:rsidRPr="00114E3B" w:rsidRDefault="00E57B92" w:rsidP="008208C2">
            <w:pPr>
              <w:shd w:val="clear" w:color="auto" w:fill="FFFFFF"/>
              <w:rPr>
                <w:sz w:val="20"/>
                <w:szCs w:val="20"/>
              </w:rPr>
            </w:pPr>
            <w:r>
              <w:rPr>
                <w:sz w:val="20"/>
                <w:szCs w:val="20"/>
              </w:rPr>
              <w:t>Ndërmarrjet</w:t>
            </w:r>
            <w:r w:rsidRPr="00114E3B">
              <w:rPr>
                <w:sz w:val="20"/>
                <w:szCs w:val="20"/>
              </w:rPr>
              <w:t xml:space="preserve">  publike</w:t>
            </w:r>
            <w:r>
              <w:rPr>
                <w:sz w:val="20"/>
                <w:szCs w:val="20"/>
              </w:rPr>
              <w:t xml:space="preserve"> qendrore</w:t>
            </w:r>
            <w:r w:rsidRPr="00114E3B">
              <w:rPr>
                <w:sz w:val="20"/>
                <w:szCs w:val="20"/>
              </w:rPr>
              <w:t xml:space="preserve"> </w:t>
            </w:r>
            <w:r>
              <w:rPr>
                <w:sz w:val="20"/>
                <w:szCs w:val="20"/>
              </w:rPr>
              <w:t xml:space="preserve">për telekomunikacion </w:t>
            </w:r>
          </w:p>
        </w:tc>
        <w:tc>
          <w:tcPr>
            <w:tcW w:w="1260" w:type="dxa"/>
          </w:tcPr>
          <w:p w:rsidR="00E57B92" w:rsidRPr="00114E3B" w:rsidRDefault="00E57B92" w:rsidP="008208C2">
            <w:pPr>
              <w:jc w:val="right"/>
              <w:rPr>
                <w:sz w:val="20"/>
                <w:szCs w:val="20"/>
              </w:rPr>
            </w:pPr>
            <w:r w:rsidRPr="00114E3B">
              <w:rPr>
                <w:sz w:val="20"/>
                <w:szCs w:val="20"/>
              </w:rPr>
              <w:t>1500.00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sidRPr="00BB4B87">
              <w:rPr>
                <w:b/>
                <w:sz w:val="20"/>
                <w:szCs w:val="20"/>
              </w:rPr>
              <w:t>4.</w:t>
            </w:r>
          </w:p>
        </w:tc>
        <w:tc>
          <w:tcPr>
            <w:tcW w:w="7263" w:type="dxa"/>
            <w:vAlign w:val="bottom"/>
          </w:tcPr>
          <w:p w:rsidR="00E57B92" w:rsidRPr="00AF2CB4" w:rsidRDefault="00E57B92" w:rsidP="008208C2">
            <w:pPr>
              <w:shd w:val="clear" w:color="auto" w:fill="FFFFFF"/>
              <w:rPr>
                <w:sz w:val="20"/>
                <w:szCs w:val="20"/>
              </w:rPr>
            </w:pPr>
            <w:r w:rsidRPr="00AF2CB4">
              <w:rPr>
                <w:sz w:val="20"/>
                <w:szCs w:val="20"/>
              </w:rPr>
              <w:t xml:space="preserve">Ndërmarrjet  publike qendrore për shërbime postare </w:t>
            </w:r>
          </w:p>
        </w:tc>
        <w:tc>
          <w:tcPr>
            <w:tcW w:w="1260" w:type="dxa"/>
          </w:tcPr>
          <w:p w:rsidR="00E57B92" w:rsidRPr="00114E3B" w:rsidRDefault="00E57B92" w:rsidP="008208C2">
            <w:pPr>
              <w:jc w:val="right"/>
              <w:rPr>
                <w:sz w:val="20"/>
                <w:szCs w:val="20"/>
              </w:rPr>
            </w:pPr>
            <w:r w:rsidRPr="00114E3B">
              <w:rPr>
                <w:sz w:val="20"/>
                <w:szCs w:val="20"/>
              </w:rPr>
              <w:t>750.00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5.</w:t>
            </w:r>
          </w:p>
        </w:tc>
        <w:tc>
          <w:tcPr>
            <w:tcW w:w="7263" w:type="dxa"/>
            <w:vAlign w:val="bottom"/>
          </w:tcPr>
          <w:p w:rsidR="00E57B92" w:rsidRPr="00114E3B" w:rsidRDefault="00E57B92" w:rsidP="008208C2">
            <w:pPr>
              <w:shd w:val="clear" w:color="auto" w:fill="FFFFFF"/>
              <w:rPr>
                <w:sz w:val="20"/>
                <w:szCs w:val="20"/>
              </w:rPr>
            </w:pPr>
            <w:r>
              <w:rPr>
                <w:sz w:val="20"/>
                <w:szCs w:val="20"/>
              </w:rPr>
              <w:t>Ndërmarrjet  për furnizim me energji elektrike</w:t>
            </w:r>
          </w:p>
        </w:tc>
        <w:tc>
          <w:tcPr>
            <w:tcW w:w="1260" w:type="dxa"/>
          </w:tcPr>
          <w:p w:rsidR="00E57B92" w:rsidRPr="00114E3B" w:rsidRDefault="00E57B92" w:rsidP="008208C2">
            <w:pPr>
              <w:jc w:val="right"/>
              <w:rPr>
                <w:sz w:val="20"/>
                <w:szCs w:val="20"/>
              </w:rPr>
            </w:pPr>
            <w:r w:rsidRPr="00114E3B">
              <w:rPr>
                <w:sz w:val="20"/>
                <w:szCs w:val="20"/>
              </w:rPr>
              <w:t>1500.00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6.</w:t>
            </w:r>
          </w:p>
        </w:tc>
        <w:tc>
          <w:tcPr>
            <w:tcW w:w="7263" w:type="dxa"/>
            <w:vAlign w:val="bottom"/>
          </w:tcPr>
          <w:p w:rsidR="00E57B92" w:rsidRPr="00114E3B" w:rsidRDefault="00E57B92" w:rsidP="008208C2">
            <w:pPr>
              <w:shd w:val="clear" w:color="auto" w:fill="FFFFFF"/>
              <w:rPr>
                <w:sz w:val="20"/>
                <w:szCs w:val="20"/>
              </w:rPr>
            </w:pPr>
            <w:r>
              <w:rPr>
                <w:sz w:val="20"/>
                <w:szCs w:val="20"/>
              </w:rPr>
              <w:t>Ndërmarrjet</w:t>
            </w:r>
            <w:r w:rsidRPr="00114E3B">
              <w:rPr>
                <w:sz w:val="20"/>
                <w:szCs w:val="20"/>
              </w:rPr>
              <w:t xml:space="preserve"> e sigurimeve-baza </w:t>
            </w:r>
          </w:p>
        </w:tc>
        <w:tc>
          <w:tcPr>
            <w:tcW w:w="1260" w:type="dxa"/>
          </w:tcPr>
          <w:p w:rsidR="00E57B92" w:rsidRPr="00114E3B" w:rsidRDefault="00E57B92" w:rsidP="008208C2">
            <w:pPr>
              <w:jc w:val="right"/>
              <w:rPr>
                <w:sz w:val="20"/>
                <w:szCs w:val="20"/>
              </w:rPr>
            </w:pPr>
            <w:r w:rsidRPr="00114E3B">
              <w:rPr>
                <w:sz w:val="20"/>
                <w:szCs w:val="20"/>
              </w:rPr>
              <w:t>800.00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7.</w:t>
            </w:r>
          </w:p>
        </w:tc>
        <w:tc>
          <w:tcPr>
            <w:tcW w:w="7263" w:type="dxa"/>
            <w:vAlign w:val="bottom"/>
          </w:tcPr>
          <w:p w:rsidR="00E57B92" w:rsidRPr="00114E3B" w:rsidRDefault="00E57B92" w:rsidP="008208C2">
            <w:pPr>
              <w:shd w:val="clear" w:color="auto" w:fill="FFFFFF"/>
              <w:rPr>
                <w:sz w:val="20"/>
                <w:szCs w:val="20"/>
              </w:rPr>
            </w:pPr>
            <w:r w:rsidRPr="00114E3B">
              <w:rPr>
                <w:sz w:val="20"/>
                <w:szCs w:val="20"/>
              </w:rPr>
              <w:t>Kontrollimet teknike</w:t>
            </w:r>
          </w:p>
        </w:tc>
        <w:tc>
          <w:tcPr>
            <w:tcW w:w="1260" w:type="dxa"/>
          </w:tcPr>
          <w:p w:rsidR="00E57B92" w:rsidRPr="00114E3B" w:rsidRDefault="00E57B92" w:rsidP="008208C2">
            <w:pPr>
              <w:jc w:val="right"/>
              <w:rPr>
                <w:sz w:val="20"/>
                <w:szCs w:val="20"/>
              </w:rPr>
            </w:pPr>
            <w:r w:rsidRPr="00114E3B">
              <w:rPr>
                <w:sz w:val="20"/>
                <w:szCs w:val="20"/>
              </w:rPr>
              <w:t>500.00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8.</w:t>
            </w:r>
          </w:p>
        </w:tc>
        <w:tc>
          <w:tcPr>
            <w:tcW w:w="7263" w:type="dxa"/>
            <w:vAlign w:val="bottom"/>
          </w:tcPr>
          <w:p w:rsidR="00E57B92" w:rsidRPr="00114E3B" w:rsidRDefault="00E57B92" w:rsidP="008208C2">
            <w:pPr>
              <w:shd w:val="clear" w:color="auto" w:fill="FFFFFF"/>
              <w:rPr>
                <w:sz w:val="20"/>
                <w:szCs w:val="20"/>
              </w:rPr>
            </w:pPr>
            <w:r w:rsidRPr="00114E3B">
              <w:rPr>
                <w:sz w:val="20"/>
                <w:szCs w:val="20"/>
              </w:rPr>
              <w:t xml:space="preserve">Bankat ekspoziturat-filialet                                                  </w:t>
            </w:r>
          </w:p>
        </w:tc>
        <w:tc>
          <w:tcPr>
            <w:tcW w:w="1260" w:type="dxa"/>
          </w:tcPr>
          <w:p w:rsidR="00E57B92" w:rsidRPr="00114E3B" w:rsidRDefault="00E57B92" w:rsidP="008208C2">
            <w:pPr>
              <w:jc w:val="right"/>
              <w:rPr>
                <w:sz w:val="20"/>
                <w:szCs w:val="20"/>
              </w:rPr>
            </w:pPr>
            <w:r w:rsidRPr="00114E3B">
              <w:rPr>
                <w:sz w:val="20"/>
                <w:szCs w:val="20"/>
              </w:rPr>
              <w:t>800.00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9.</w:t>
            </w:r>
          </w:p>
        </w:tc>
        <w:tc>
          <w:tcPr>
            <w:tcW w:w="7263" w:type="dxa"/>
            <w:vAlign w:val="bottom"/>
          </w:tcPr>
          <w:p w:rsidR="00E57B92" w:rsidRPr="00114E3B" w:rsidRDefault="00E57B92" w:rsidP="008208C2">
            <w:pPr>
              <w:shd w:val="clear" w:color="auto" w:fill="FFFFFF"/>
              <w:rPr>
                <w:sz w:val="20"/>
                <w:szCs w:val="20"/>
              </w:rPr>
            </w:pPr>
            <w:r w:rsidRPr="00114E3B">
              <w:rPr>
                <w:sz w:val="20"/>
                <w:szCs w:val="20"/>
              </w:rPr>
              <w:t xml:space="preserve">Institucionet Mikrofinanciare (Kredi-dhënie) </w:t>
            </w:r>
          </w:p>
        </w:tc>
        <w:tc>
          <w:tcPr>
            <w:tcW w:w="1260" w:type="dxa"/>
          </w:tcPr>
          <w:p w:rsidR="00E57B92" w:rsidRPr="00114E3B" w:rsidRDefault="00E57B92" w:rsidP="008208C2">
            <w:pPr>
              <w:jc w:val="right"/>
              <w:rPr>
                <w:sz w:val="20"/>
                <w:szCs w:val="20"/>
              </w:rPr>
            </w:pPr>
            <w:r w:rsidRPr="00114E3B">
              <w:rPr>
                <w:sz w:val="20"/>
                <w:szCs w:val="20"/>
              </w:rPr>
              <w:t>500.00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10.</w:t>
            </w:r>
          </w:p>
        </w:tc>
        <w:tc>
          <w:tcPr>
            <w:tcW w:w="7263" w:type="dxa"/>
            <w:vAlign w:val="bottom"/>
          </w:tcPr>
          <w:p w:rsidR="00E57B92" w:rsidRPr="00114E3B" w:rsidRDefault="00E57B92" w:rsidP="008208C2">
            <w:pPr>
              <w:shd w:val="clear" w:color="auto" w:fill="FFFFFF"/>
              <w:rPr>
                <w:sz w:val="20"/>
                <w:szCs w:val="20"/>
              </w:rPr>
            </w:pPr>
            <w:r w:rsidRPr="00114E3B">
              <w:rPr>
                <w:sz w:val="20"/>
                <w:szCs w:val="20"/>
              </w:rPr>
              <w:t>Këmbimor</w:t>
            </w:r>
            <w:r>
              <w:rPr>
                <w:sz w:val="20"/>
                <w:szCs w:val="20"/>
              </w:rPr>
              <w:t>e</w:t>
            </w:r>
            <w:r w:rsidRPr="00114E3B">
              <w:rPr>
                <w:sz w:val="20"/>
                <w:szCs w:val="20"/>
              </w:rPr>
              <w:t xml:space="preserve">t </w:t>
            </w:r>
          </w:p>
        </w:tc>
        <w:tc>
          <w:tcPr>
            <w:tcW w:w="1260" w:type="dxa"/>
          </w:tcPr>
          <w:p w:rsidR="00E57B92" w:rsidRPr="00114E3B" w:rsidRDefault="00E57B92" w:rsidP="008208C2">
            <w:pPr>
              <w:jc w:val="right"/>
              <w:rPr>
                <w:sz w:val="20"/>
                <w:szCs w:val="20"/>
              </w:rPr>
            </w:pPr>
            <w:r w:rsidRPr="00114E3B">
              <w:rPr>
                <w:sz w:val="20"/>
                <w:szCs w:val="20"/>
              </w:rPr>
              <w:t>200.00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sidRPr="00BB4B87">
              <w:rPr>
                <w:sz w:val="20"/>
                <w:szCs w:val="20"/>
              </w:rPr>
              <w:t>11.</w:t>
            </w:r>
          </w:p>
        </w:tc>
        <w:tc>
          <w:tcPr>
            <w:tcW w:w="7263" w:type="dxa"/>
            <w:vAlign w:val="bottom"/>
          </w:tcPr>
          <w:p w:rsidR="00E57B92" w:rsidRPr="00114E3B" w:rsidRDefault="00E57B92" w:rsidP="008208C2">
            <w:pPr>
              <w:shd w:val="clear" w:color="auto" w:fill="FFFFFF"/>
              <w:rPr>
                <w:sz w:val="20"/>
                <w:szCs w:val="20"/>
              </w:rPr>
            </w:pPr>
            <w:r>
              <w:rPr>
                <w:sz w:val="20"/>
                <w:szCs w:val="20"/>
              </w:rPr>
              <w:t xml:space="preserve">Agjencitë për </w:t>
            </w:r>
            <w:r w:rsidRPr="00114E3B">
              <w:rPr>
                <w:sz w:val="20"/>
                <w:szCs w:val="20"/>
              </w:rPr>
              <w:t xml:space="preserve"> transferim të parave</w:t>
            </w:r>
          </w:p>
        </w:tc>
        <w:tc>
          <w:tcPr>
            <w:tcW w:w="1260" w:type="dxa"/>
          </w:tcPr>
          <w:p w:rsidR="00E57B92" w:rsidRPr="00114E3B" w:rsidRDefault="00E57B92" w:rsidP="008208C2">
            <w:pPr>
              <w:jc w:val="right"/>
              <w:rPr>
                <w:sz w:val="20"/>
                <w:szCs w:val="20"/>
              </w:rPr>
            </w:pPr>
            <w:r w:rsidRPr="00114E3B">
              <w:rPr>
                <w:sz w:val="20"/>
                <w:szCs w:val="20"/>
              </w:rPr>
              <w:t>150.00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Pr>
                <w:b/>
                <w:sz w:val="20"/>
                <w:szCs w:val="20"/>
              </w:rPr>
              <w:t>12</w:t>
            </w:r>
            <w:r w:rsidRPr="00BB4B87">
              <w:rPr>
                <w:b/>
                <w:sz w:val="20"/>
                <w:szCs w:val="20"/>
              </w:rPr>
              <w:t>.</w:t>
            </w:r>
          </w:p>
        </w:tc>
        <w:tc>
          <w:tcPr>
            <w:tcW w:w="7263" w:type="dxa"/>
            <w:vAlign w:val="bottom"/>
          </w:tcPr>
          <w:p w:rsidR="00E57B92" w:rsidRPr="00BB4B87" w:rsidRDefault="00E57B92" w:rsidP="008208C2">
            <w:pPr>
              <w:shd w:val="clear" w:color="auto" w:fill="FFFFFF"/>
              <w:rPr>
                <w:b/>
                <w:sz w:val="20"/>
                <w:szCs w:val="20"/>
                <w:vertAlign w:val="superscript"/>
              </w:rPr>
            </w:pPr>
            <w:r w:rsidRPr="00BB4B87">
              <w:rPr>
                <w:b/>
                <w:sz w:val="20"/>
                <w:szCs w:val="20"/>
              </w:rPr>
              <w:t xml:space="preserve">Marketet </w:t>
            </w:r>
          </w:p>
        </w:tc>
        <w:tc>
          <w:tcPr>
            <w:tcW w:w="1260" w:type="dxa"/>
          </w:tcPr>
          <w:p w:rsidR="00E57B92" w:rsidRPr="00BB4B87" w:rsidRDefault="00E57B92" w:rsidP="008208C2">
            <w:pPr>
              <w:jc w:val="right"/>
              <w:rPr>
                <w:b/>
                <w:sz w:val="20"/>
                <w:szCs w:val="20"/>
              </w:rPr>
            </w:pPr>
            <w:r w:rsidRPr="00BB4B87">
              <w:rPr>
                <w:b/>
                <w:sz w:val="20"/>
                <w:szCs w:val="20"/>
              </w:rPr>
              <w:t>200.00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Pr>
                <w:b/>
                <w:sz w:val="20"/>
                <w:szCs w:val="20"/>
              </w:rPr>
              <w:t>13.</w:t>
            </w:r>
          </w:p>
        </w:tc>
        <w:tc>
          <w:tcPr>
            <w:tcW w:w="7263" w:type="dxa"/>
            <w:vAlign w:val="bottom"/>
          </w:tcPr>
          <w:p w:rsidR="00E57B92" w:rsidRPr="00BB4B87" w:rsidRDefault="00E57B92" w:rsidP="008208C2">
            <w:pPr>
              <w:shd w:val="clear" w:color="auto" w:fill="FFFFFF"/>
              <w:rPr>
                <w:b/>
                <w:sz w:val="20"/>
                <w:szCs w:val="20"/>
              </w:rPr>
            </w:pPr>
            <w:r w:rsidRPr="00BB4B87">
              <w:rPr>
                <w:b/>
                <w:sz w:val="20"/>
                <w:szCs w:val="20"/>
              </w:rPr>
              <w:t xml:space="preserve">Super marketet </w:t>
            </w:r>
          </w:p>
        </w:tc>
        <w:tc>
          <w:tcPr>
            <w:tcW w:w="1260" w:type="dxa"/>
          </w:tcPr>
          <w:p w:rsidR="00E57B92" w:rsidRPr="00BB4B87" w:rsidRDefault="00E57B92" w:rsidP="008208C2">
            <w:pPr>
              <w:jc w:val="right"/>
              <w:rPr>
                <w:b/>
                <w:sz w:val="20"/>
                <w:szCs w:val="20"/>
              </w:rPr>
            </w:pPr>
            <w:r>
              <w:rPr>
                <w:b/>
                <w:sz w:val="20"/>
                <w:szCs w:val="20"/>
              </w:rPr>
              <w:t>4</w:t>
            </w:r>
            <w:r w:rsidRPr="00BB4B87">
              <w:rPr>
                <w:b/>
                <w:sz w:val="20"/>
                <w:szCs w:val="20"/>
              </w:rPr>
              <w:t>00.00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Pr>
                <w:b/>
                <w:sz w:val="20"/>
                <w:szCs w:val="20"/>
              </w:rPr>
              <w:t>14.</w:t>
            </w:r>
          </w:p>
        </w:tc>
        <w:tc>
          <w:tcPr>
            <w:tcW w:w="7263" w:type="dxa"/>
            <w:vAlign w:val="bottom"/>
          </w:tcPr>
          <w:p w:rsidR="00E57B92" w:rsidRPr="00BB4B87" w:rsidRDefault="00E57B92" w:rsidP="008208C2">
            <w:pPr>
              <w:shd w:val="clear" w:color="auto" w:fill="FFFFFF"/>
              <w:rPr>
                <w:b/>
                <w:sz w:val="20"/>
                <w:szCs w:val="20"/>
                <w:vertAlign w:val="superscript"/>
              </w:rPr>
            </w:pPr>
            <w:r w:rsidRPr="00BB4B87">
              <w:rPr>
                <w:b/>
                <w:sz w:val="20"/>
                <w:szCs w:val="20"/>
              </w:rPr>
              <w:t xml:space="preserve">Hipermarketet </w:t>
            </w:r>
          </w:p>
        </w:tc>
        <w:tc>
          <w:tcPr>
            <w:tcW w:w="1260" w:type="dxa"/>
          </w:tcPr>
          <w:p w:rsidR="00E57B92" w:rsidRPr="00BB4B87" w:rsidRDefault="00E57B92" w:rsidP="008208C2">
            <w:pPr>
              <w:jc w:val="right"/>
              <w:rPr>
                <w:b/>
                <w:sz w:val="20"/>
                <w:szCs w:val="20"/>
              </w:rPr>
            </w:pPr>
            <w:r>
              <w:rPr>
                <w:b/>
                <w:sz w:val="20"/>
                <w:szCs w:val="20"/>
              </w:rPr>
              <w:t>8</w:t>
            </w:r>
            <w:r w:rsidRPr="00BB4B87">
              <w:rPr>
                <w:b/>
                <w:sz w:val="20"/>
                <w:szCs w:val="20"/>
              </w:rPr>
              <w:t>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Pr>
                <w:sz w:val="20"/>
                <w:szCs w:val="20"/>
              </w:rPr>
              <w:t>15.</w:t>
            </w:r>
          </w:p>
        </w:tc>
        <w:tc>
          <w:tcPr>
            <w:tcW w:w="7263" w:type="dxa"/>
            <w:vAlign w:val="bottom"/>
          </w:tcPr>
          <w:p w:rsidR="00E57B92" w:rsidRPr="00BB4B87" w:rsidRDefault="00E57B92" w:rsidP="008208C2">
            <w:pPr>
              <w:shd w:val="clear" w:color="auto" w:fill="FFFFFF"/>
              <w:rPr>
                <w:sz w:val="20"/>
                <w:szCs w:val="20"/>
              </w:rPr>
            </w:pPr>
            <w:r>
              <w:rPr>
                <w:sz w:val="20"/>
                <w:szCs w:val="20"/>
              </w:rPr>
              <w:t>Ndërmarrjet</w:t>
            </w:r>
            <w:r w:rsidRPr="00BB4B87">
              <w:rPr>
                <w:sz w:val="20"/>
                <w:szCs w:val="20"/>
              </w:rPr>
              <w:t xml:space="preserve"> e telefonisë mobile, rrjetit të internetit dhe TV kabllovike </w:t>
            </w:r>
          </w:p>
        </w:tc>
        <w:tc>
          <w:tcPr>
            <w:tcW w:w="1260" w:type="dxa"/>
          </w:tcPr>
          <w:p w:rsidR="00E57B92" w:rsidRPr="00BB4B87" w:rsidRDefault="00E57B92" w:rsidP="008208C2">
            <w:pPr>
              <w:jc w:val="right"/>
              <w:rPr>
                <w:sz w:val="20"/>
                <w:szCs w:val="20"/>
              </w:rPr>
            </w:pPr>
            <w:r>
              <w:rPr>
                <w:sz w:val="20"/>
                <w:szCs w:val="20"/>
              </w:rPr>
              <w:t xml:space="preserve">       </w:t>
            </w:r>
            <w:r w:rsidRPr="00BB4B87">
              <w:rPr>
                <w:sz w:val="20"/>
                <w:szCs w:val="20"/>
              </w:rPr>
              <w:t>1000.00</w:t>
            </w:r>
          </w:p>
        </w:tc>
      </w:tr>
      <w:tr w:rsidR="00E57B92" w:rsidRPr="00BB4B87" w:rsidTr="008208C2">
        <w:trPr>
          <w:trHeight w:val="224"/>
        </w:trPr>
        <w:tc>
          <w:tcPr>
            <w:tcW w:w="657" w:type="dxa"/>
            <w:vAlign w:val="bottom"/>
          </w:tcPr>
          <w:p w:rsidR="00E57B92" w:rsidRPr="00BB4B87" w:rsidRDefault="00E57B92" w:rsidP="008208C2">
            <w:pPr>
              <w:shd w:val="clear" w:color="auto" w:fill="FFFFFF"/>
              <w:rPr>
                <w:sz w:val="20"/>
                <w:szCs w:val="20"/>
              </w:rPr>
            </w:pPr>
            <w:r>
              <w:rPr>
                <w:sz w:val="20"/>
                <w:szCs w:val="20"/>
              </w:rPr>
              <w:t>16.</w:t>
            </w:r>
          </w:p>
        </w:tc>
        <w:tc>
          <w:tcPr>
            <w:tcW w:w="7263" w:type="dxa"/>
            <w:vAlign w:val="bottom"/>
          </w:tcPr>
          <w:p w:rsidR="00E57B92" w:rsidRPr="00BB4B87" w:rsidRDefault="00E57B92" w:rsidP="008208C2">
            <w:pPr>
              <w:shd w:val="clear" w:color="auto" w:fill="FFFFFF"/>
              <w:rPr>
                <w:sz w:val="20"/>
                <w:szCs w:val="20"/>
              </w:rPr>
            </w:pPr>
            <w:r w:rsidRPr="00BB4B87">
              <w:rPr>
                <w:sz w:val="20"/>
                <w:szCs w:val="20"/>
              </w:rPr>
              <w:t>Bingot, bastoret, lotaritë dhe lojërat tjera të fatit</w:t>
            </w:r>
          </w:p>
        </w:tc>
        <w:tc>
          <w:tcPr>
            <w:tcW w:w="1260" w:type="dxa"/>
          </w:tcPr>
          <w:p w:rsidR="00E57B92" w:rsidRPr="00BB4B87" w:rsidRDefault="00E57B92" w:rsidP="008208C2">
            <w:pPr>
              <w:jc w:val="right"/>
              <w:rPr>
                <w:sz w:val="20"/>
                <w:szCs w:val="20"/>
              </w:rPr>
            </w:pPr>
            <w:r w:rsidRPr="00BB4B87">
              <w:rPr>
                <w:sz w:val="20"/>
                <w:szCs w:val="20"/>
              </w:rPr>
              <w:t>1000.00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Pr>
                <w:sz w:val="20"/>
                <w:szCs w:val="20"/>
              </w:rPr>
              <w:t>17.</w:t>
            </w:r>
          </w:p>
        </w:tc>
        <w:tc>
          <w:tcPr>
            <w:tcW w:w="7263" w:type="dxa"/>
            <w:vAlign w:val="bottom"/>
          </w:tcPr>
          <w:p w:rsidR="00E57B92" w:rsidRPr="00BB4B87" w:rsidRDefault="00E57B92" w:rsidP="008208C2">
            <w:pPr>
              <w:shd w:val="clear" w:color="auto" w:fill="FFFFFF"/>
              <w:rPr>
                <w:sz w:val="20"/>
                <w:szCs w:val="20"/>
              </w:rPr>
            </w:pPr>
            <w:r w:rsidRPr="00BB4B87">
              <w:rPr>
                <w:sz w:val="20"/>
                <w:szCs w:val="20"/>
              </w:rPr>
              <w:t>Kazino</w:t>
            </w:r>
          </w:p>
        </w:tc>
        <w:tc>
          <w:tcPr>
            <w:tcW w:w="1260" w:type="dxa"/>
          </w:tcPr>
          <w:p w:rsidR="00E57B92" w:rsidRPr="00BB4B87" w:rsidRDefault="00E57B92" w:rsidP="008208C2">
            <w:pPr>
              <w:jc w:val="right"/>
              <w:rPr>
                <w:sz w:val="20"/>
                <w:szCs w:val="20"/>
              </w:rPr>
            </w:pPr>
            <w:r w:rsidRPr="00BB4B87">
              <w:rPr>
                <w:sz w:val="20"/>
                <w:szCs w:val="20"/>
              </w:rPr>
              <w:t>3000.00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Pr>
                <w:b/>
                <w:sz w:val="20"/>
                <w:szCs w:val="20"/>
              </w:rPr>
              <w:t>18.</w:t>
            </w:r>
          </w:p>
        </w:tc>
        <w:tc>
          <w:tcPr>
            <w:tcW w:w="7263" w:type="dxa"/>
            <w:vAlign w:val="bottom"/>
          </w:tcPr>
          <w:p w:rsidR="00E57B92" w:rsidRPr="00BB4B87" w:rsidRDefault="00E57B92" w:rsidP="008208C2">
            <w:pPr>
              <w:shd w:val="clear" w:color="auto" w:fill="FFFFFF"/>
              <w:rPr>
                <w:b/>
                <w:sz w:val="20"/>
                <w:szCs w:val="20"/>
                <w:vertAlign w:val="superscript"/>
              </w:rPr>
            </w:pPr>
            <w:r w:rsidRPr="00BB4B87">
              <w:rPr>
                <w:b/>
                <w:sz w:val="20"/>
                <w:szCs w:val="20"/>
              </w:rPr>
              <w:t>Restorantet</w:t>
            </w:r>
          </w:p>
        </w:tc>
        <w:tc>
          <w:tcPr>
            <w:tcW w:w="1260" w:type="dxa"/>
          </w:tcPr>
          <w:p w:rsidR="00E57B92" w:rsidRPr="00BB4B87" w:rsidRDefault="00E57B92" w:rsidP="008208C2">
            <w:pPr>
              <w:jc w:val="right"/>
              <w:rPr>
                <w:b/>
                <w:sz w:val="20"/>
                <w:szCs w:val="20"/>
              </w:rPr>
            </w:pPr>
            <w:r>
              <w:rPr>
                <w:b/>
                <w:sz w:val="20"/>
                <w:szCs w:val="20"/>
              </w:rPr>
              <w:t>2</w:t>
            </w:r>
            <w:r w:rsidRPr="00BB4B87">
              <w:rPr>
                <w:b/>
                <w:sz w:val="20"/>
                <w:szCs w:val="20"/>
              </w:rPr>
              <w:t>00.00</w:t>
            </w:r>
          </w:p>
        </w:tc>
      </w:tr>
      <w:tr w:rsidR="00E57B92" w:rsidRPr="00BB4B87" w:rsidTr="008208C2">
        <w:tc>
          <w:tcPr>
            <w:tcW w:w="657" w:type="dxa"/>
            <w:vAlign w:val="bottom"/>
          </w:tcPr>
          <w:p w:rsidR="00E57B92" w:rsidRPr="00BB4B87" w:rsidRDefault="00E57B92" w:rsidP="008208C2">
            <w:pPr>
              <w:shd w:val="clear" w:color="auto" w:fill="FFFFFF"/>
              <w:rPr>
                <w:b/>
                <w:sz w:val="20"/>
                <w:szCs w:val="20"/>
              </w:rPr>
            </w:pPr>
            <w:r>
              <w:rPr>
                <w:b/>
                <w:sz w:val="20"/>
                <w:szCs w:val="20"/>
              </w:rPr>
              <w:t>19.</w:t>
            </w:r>
          </w:p>
        </w:tc>
        <w:tc>
          <w:tcPr>
            <w:tcW w:w="7263" w:type="dxa"/>
            <w:vAlign w:val="bottom"/>
          </w:tcPr>
          <w:p w:rsidR="00E57B92" w:rsidRPr="00BB4B87" w:rsidRDefault="00E57B92" w:rsidP="008208C2">
            <w:pPr>
              <w:shd w:val="clear" w:color="auto" w:fill="FFFFFF"/>
              <w:rPr>
                <w:b/>
                <w:sz w:val="20"/>
                <w:szCs w:val="20"/>
              </w:rPr>
            </w:pPr>
            <w:r w:rsidRPr="00BB4B87">
              <w:rPr>
                <w:b/>
                <w:sz w:val="20"/>
                <w:szCs w:val="20"/>
              </w:rPr>
              <w:t xml:space="preserve">Hotelet </w:t>
            </w:r>
          </w:p>
        </w:tc>
        <w:tc>
          <w:tcPr>
            <w:tcW w:w="1260" w:type="dxa"/>
          </w:tcPr>
          <w:p w:rsidR="00E57B92" w:rsidRPr="00BB4B87" w:rsidRDefault="00E57B92" w:rsidP="008208C2">
            <w:pPr>
              <w:jc w:val="right"/>
              <w:rPr>
                <w:b/>
                <w:sz w:val="20"/>
                <w:szCs w:val="20"/>
              </w:rPr>
            </w:pPr>
            <w:r>
              <w:rPr>
                <w:b/>
                <w:sz w:val="20"/>
                <w:szCs w:val="20"/>
              </w:rPr>
              <w:t>4</w:t>
            </w:r>
            <w:r w:rsidRPr="00BB4B87">
              <w:rPr>
                <w:b/>
                <w:sz w:val="20"/>
                <w:szCs w:val="20"/>
              </w:rPr>
              <w:t>00.00</w:t>
            </w:r>
          </w:p>
        </w:tc>
      </w:tr>
      <w:tr w:rsidR="00E57B92" w:rsidRPr="00BB4B87" w:rsidTr="008208C2">
        <w:trPr>
          <w:trHeight w:val="242"/>
        </w:trPr>
        <w:tc>
          <w:tcPr>
            <w:tcW w:w="657" w:type="dxa"/>
            <w:vAlign w:val="bottom"/>
          </w:tcPr>
          <w:p w:rsidR="00E57B92" w:rsidRPr="00BB4B87" w:rsidRDefault="00E57B92" w:rsidP="008208C2">
            <w:pPr>
              <w:shd w:val="clear" w:color="auto" w:fill="FFFFFF"/>
              <w:rPr>
                <w:b/>
                <w:sz w:val="20"/>
                <w:szCs w:val="20"/>
              </w:rPr>
            </w:pPr>
            <w:r>
              <w:rPr>
                <w:b/>
                <w:sz w:val="20"/>
                <w:szCs w:val="20"/>
              </w:rPr>
              <w:t>20.</w:t>
            </w:r>
          </w:p>
        </w:tc>
        <w:tc>
          <w:tcPr>
            <w:tcW w:w="7263" w:type="dxa"/>
            <w:vAlign w:val="bottom"/>
          </w:tcPr>
          <w:p w:rsidR="00E57B92" w:rsidRPr="00BB4B87" w:rsidRDefault="00E57B92" w:rsidP="008208C2">
            <w:pPr>
              <w:shd w:val="clear" w:color="auto" w:fill="FFFFFF"/>
              <w:rPr>
                <w:b/>
                <w:sz w:val="20"/>
                <w:szCs w:val="20"/>
              </w:rPr>
            </w:pPr>
            <w:r w:rsidRPr="00BB4B87">
              <w:rPr>
                <w:b/>
                <w:sz w:val="20"/>
                <w:szCs w:val="20"/>
              </w:rPr>
              <w:t xml:space="preserve">Motelet </w:t>
            </w:r>
          </w:p>
        </w:tc>
        <w:tc>
          <w:tcPr>
            <w:tcW w:w="1260" w:type="dxa"/>
          </w:tcPr>
          <w:p w:rsidR="00E57B92" w:rsidRPr="00BB4B87" w:rsidRDefault="00E57B92" w:rsidP="008208C2">
            <w:pPr>
              <w:jc w:val="right"/>
              <w:rPr>
                <w:b/>
                <w:sz w:val="20"/>
                <w:szCs w:val="20"/>
              </w:rPr>
            </w:pPr>
            <w:r>
              <w:rPr>
                <w:b/>
                <w:sz w:val="20"/>
                <w:szCs w:val="20"/>
              </w:rPr>
              <w:t>3</w:t>
            </w:r>
            <w:r w:rsidRPr="00BB4B87">
              <w:rPr>
                <w:b/>
                <w:sz w:val="20"/>
                <w:szCs w:val="20"/>
              </w:rPr>
              <w:t>00.00</w:t>
            </w:r>
          </w:p>
        </w:tc>
      </w:tr>
      <w:tr w:rsidR="00E57B92" w:rsidRPr="00BB4B87" w:rsidTr="008208C2">
        <w:trPr>
          <w:trHeight w:val="278"/>
        </w:trPr>
        <w:tc>
          <w:tcPr>
            <w:tcW w:w="657" w:type="dxa"/>
            <w:vAlign w:val="bottom"/>
          </w:tcPr>
          <w:p w:rsidR="00E57B92" w:rsidRPr="00BB4B87" w:rsidRDefault="00E57B92" w:rsidP="008208C2">
            <w:pPr>
              <w:shd w:val="clear" w:color="auto" w:fill="FFFFFF"/>
              <w:rPr>
                <w:sz w:val="20"/>
                <w:szCs w:val="20"/>
              </w:rPr>
            </w:pPr>
            <w:r>
              <w:rPr>
                <w:sz w:val="20"/>
                <w:szCs w:val="20"/>
              </w:rPr>
              <w:t>21.</w:t>
            </w:r>
          </w:p>
        </w:tc>
        <w:tc>
          <w:tcPr>
            <w:tcW w:w="7263" w:type="dxa"/>
            <w:vAlign w:val="bottom"/>
          </w:tcPr>
          <w:p w:rsidR="00E57B92" w:rsidRPr="00BB4B87" w:rsidRDefault="00E57B92" w:rsidP="008208C2">
            <w:pPr>
              <w:shd w:val="clear" w:color="auto" w:fill="FFFFFF"/>
              <w:rPr>
                <w:sz w:val="20"/>
                <w:szCs w:val="20"/>
              </w:rPr>
            </w:pPr>
            <w:r>
              <w:rPr>
                <w:sz w:val="20"/>
                <w:szCs w:val="20"/>
              </w:rPr>
              <w:t>Ndërmarrjet</w:t>
            </w:r>
            <w:r w:rsidRPr="00BB4B87">
              <w:rPr>
                <w:sz w:val="20"/>
                <w:szCs w:val="20"/>
              </w:rPr>
              <w:t xml:space="preserve"> e sigurimit fizik të objekteve </w:t>
            </w:r>
          </w:p>
        </w:tc>
        <w:tc>
          <w:tcPr>
            <w:tcW w:w="1260" w:type="dxa"/>
          </w:tcPr>
          <w:p w:rsidR="00E57B92" w:rsidRPr="00BB4B87" w:rsidRDefault="00E57B92" w:rsidP="008208C2">
            <w:pPr>
              <w:jc w:val="right"/>
              <w:rPr>
                <w:sz w:val="20"/>
                <w:szCs w:val="20"/>
              </w:rPr>
            </w:pPr>
            <w:r w:rsidRPr="00BB4B87">
              <w:rPr>
                <w:sz w:val="20"/>
                <w:szCs w:val="20"/>
              </w:rPr>
              <w:t>300.00</w:t>
            </w:r>
          </w:p>
        </w:tc>
      </w:tr>
      <w:tr w:rsidR="00E57B92" w:rsidRPr="00BB4B87" w:rsidTr="008208C2">
        <w:tc>
          <w:tcPr>
            <w:tcW w:w="657" w:type="dxa"/>
            <w:vAlign w:val="bottom"/>
          </w:tcPr>
          <w:p w:rsidR="00E57B92" w:rsidRPr="00BB4B87" w:rsidRDefault="00E57B92" w:rsidP="008208C2">
            <w:pPr>
              <w:shd w:val="clear" w:color="auto" w:fill="FFFFFF"/>
              <w:rPr>
                <w:sz w:val="20"/>
                <w:szCs w:val="20"/>
              </w:rPr>
            </w:pPr>
            <w:r>
              <w:rPr>
                <w:sz w:val="20"/>
                <w:szCs w:val="20"/>
              </w:rPr>
              <w:t>22.</w:t>
            </w:r>
          </w:p>
        </w:tc>
        <w:tc>
          <w:tcPr>
            <w:tcW w:w="7263" w:type="dxa"/>
            <w:vAlign w:val="bottom"/>
          </w:tcPr>
          <w:p w:rsidR="00E57B92" w:rsidRPr="00BB4B87" w:rsidRDefault="00E57B92" w:rsidP="008208C2">
            <w:pPr>
              <w:shd w:val="clear" w:color="auto" w:fill="FFFFFF"/>
              <w:rPr>
                <w:sz w:val="20"/>
                <w:szCs w:val="20"/>
              </w:rPr>
            </w:pPr>
            <w:r w:rsidRPr="00BB4B87">
              <w:rPr>
                <w:sz w:val="20"/>
                <w:szCs w:val="20"/>
              </w:rPr>
              <w:t xml:space="preserve">Pompat e benzinës – baza (në rrugë regjionale) </w:t>
            </w:r>
          </w:p>
        </w:tc>
        <w:tc>
          <w:tcPr>
            <w:tcW w:w="1260" w:type="dxa"/>
          </w:tcPr>
          <w:p w:rsidR="00E57B92" w:rsidRPr="00BB4B87" w:rsidRDefault="00E57B92" w:rsidP="008208C2">
            <w:pPr>
              <w:jc w:val="right"/>
              <w:rPr>
                <w:sz w:val="20"/>
                <w:szCs w:val="20"/>
              </w:rPr>
            </w:pPr>
            <w:r w:rsidRPr="00BB4B87">
              <w:rPr>
                <w:sz w:val="20"/>
                <w:szCs w:val="20"/>
              </w:rPr>
              <w:t>500.00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23.</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Pompat e benzinës në fshatra </w:t>
            </w:r>
          </w:p>
        </w:tc>
        <w:tc>
          <w:tcPr>
            <w:tcW w:w="1260" w:type="dxa"/>
          </w:tcPr>
          <w:p w:rsidR="00E57B92" w:rsidRPr="00921A0C" w:rsidRDefault="00E57B92" w:rsidP="008208C2">
            <w:pPr>
              <w:jc w:val="right"/>
              <w:rPr>
                <w:sz w:val="20"/>
                <w:szCs w:val="20"/>
              </w:rPr>
            </w:pPr>
            <w:r w:rsidRPr="00921A0C">
              <w:rPr>
                <w:sz w:val="20"/>
                <w:szCs w:val="20"/>
              </w:rPr>
              <w:t>300.00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24.</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Diskotekat </w:t>
            </w:r>
          </w:p>
        </w:tc>
        <w:tc>
          <w:tcPr>
            <w:tcW w:w="1260" w:type="dxa"/>
          </w:tcPr>
          <w:p w:rsidR="00E57B92" w:rsidRPr="00921A0C" w:rsidRDefault="00E57B92" w:rsidP="008208C2">
            <w:pPr>
              <w:jc w:val="right"/>
              <w:rPr>
                <w:sz w:val="20"/>
                <w:szCs w:val="20"/>
              </w:rPr>
            </w:pPr>
            <w:r w:rsidRPr="00921A0C">
              <w:rPr>
                <w:sz w:val="20"/>
                <w:szCs w:val="20"/>
              </w:rPr>
              <w:t>500.00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25.</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Diskobaret </w:t>
            </w:r>
          </w:p>
        </w:tc>
        <w:tc>
          <w:tcPr>
            <w:tcW w:w="1260" w:type="dxa"/>
          </w:tcPr>
          <w:p w:rsidR="00E57B92" w:rsidRPr="00921A0C" w:rsidRDefault="00E57B92" w:rsidP="008208C2">
            <w:pPr>
              <w:jc w:val="right"/>
              <w:rPr>
                <w:sz w:val="20"/>
                <w:szCs w:val="20"/>
              </w:rPr>
            </w:pPr>
            <w:r w:rsidRPr="00921A0C">
              <w:rPr>
                <w:sz w:val="20"/>
                <w:szCs w:val="20"/>
              </w:rPr>
              <w:t>500.00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26.</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Klubet e natës </w:t>
            </w:r>
          </w:p>
        </w:tc>
        <w:tc>
          <w:tcPr>
            <w:tcW w:w="1260" w:type="dxa"/>
          </w:tcPr>
          <w:p w:rsidR="00E57B92" w:rsidRPr="00921A0C" w:rsidRDefault="00E57B92" w:rsidP="008208C2">
            <w:pPr>
              <w:jc w:val="right"/>
              <w:rPr>
                <w:sz w:val="20"/>
                <w:szCs w:val="20"/>
              </w:rPr>
            </w:pPr>
            <w:r w:rsidRPr="00921A0C">
              <w:rPr>
                <w:sz w:val="20"/>
                <w:szCs w:val="20"/>
              </w:rPr>
              <w:t>500.00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27.</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Klinikat mjekësore </w:t>
            </w:r>
          </w:p>
        </w:tc>
        <w:tc>
          <w:tcPr>
            <w:tcW w:w="1260" w:type="dxa"/>
          </w:tcPr>
          <w:p w:rsidR="00E57B92" w:rsidRPr="00921A0C" w:rsidRDefault="00E57B92" w:rsidP="008208C2">
            <w:pPr>
              <w:jc w:val="right"/>
              <w:rPr>
                <w:sz w:val="20"/>
                <w:szCs w:val="20"/>
              </w:rPr>
            </w:pPr>
            <w:r w:rsidRPr="00921A0C">
              <w:rPr>
                <w:sz w:val="20"/>
                <w:szCs w:val="20"/>
              </w:rPr>
              <w:t>300.00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28.</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Ambulancat, laboratorët, rendgenët, stomatologët </w:t>
            </w:r>
          </w:p>
        </w:tc>
        <w:tc>
          <w:tcPr>
            <w:tcW w:w="1260" w:type="dxa"/>
          </w:tcPr>
          <w:p w:rsidR="00E57B92" w:rsidRPr="00921A0C" w:rsidRDefault="00E57B92" w:rsidP="008208C2">
            <w:pPr>
              <w:jc w:val="right"/>
              <w:rPr>
                <w:sz w:val="20"/>
                <w:szCs w:val="20"/>
              </w:rPr>
            </w:pPr>
            <w:r w:rsidRPr="00921A0C">
              <w:rPr>
                <w:sz w:val="20"/>
                <w:szCs w:val="20"/>
              </w:rPr>
              <w:t>200.00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29.</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Autoshkollat </w:t>
            </w:r>
          </w:p>
        </w:tc>
        <w:tc>
          <w:tcPr>
            <w:tcW w:w="1260" w:type="dxa"/>
          </w:tcPr>
          <w:p w:rsidR="00E57B92" w:rsidRPr="00921A0C" w:rsidRDefault="00E57B92" w:rsidP="008208C2">
            <w:pPr>
              <w:jc w:val="right"/>
              <w:rPr>
                <w:sz w:val="20"/>
                <w:szCs w:val="20"/>
              </w:rPr>
            </w:pPr>
            <w:r w:rsidRPr="00921A0C">
              <w:rPr>
                <w:sz w:val="20"/>
                <w:szCs w:val="20"/>
              </w:rPr>
              <w:t>200.00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30.</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Noterët </w:t>
            </w:r>
          </w:p>
        </w:tc>
        <w:tc>
          <w:tcPr>
            <w:tcW w:w="1260" w:type="dxa"/>
          </w:tcPr>
          <w:p w:rsidR="00E57B92" w:rsidRPr="00921A0C" w:rsidRDefault="00E57B92" w:rsidP="008208C2">
            <w:pPr>
              <w:jc w:val="right"/>
              <w:rPr>
                <w:sz w:val="20"/>
                <w:szCs w:val="20"/>
              </w:rPr>
            </w:pPr>
            <w:r w:rsidRPr="00921A0C">
              <w:rPr>
                <w:sz w:val="20"/>
                <w:szCs w:val="20"/>
              </w:rPr>
              <w:t>200.00</w:t>
            </w:r>
          </w:p>
        </w:tc>
      </w:tr>
      <w:tr w:rsidR="00E57B92" w:rsidRPr="00BB4B87" w:rsidTr="008208C2">
        <w:tc>
          <w:tcPr>
            <w:tcW w:w="657" w:type="dxa"/>
            <w:vAlign w:val="bottom"/>
          </w:tcPr>
          <w:p w:rsidR="00E57B92" w:rsidRPr="00921A0C" w:rsidRDefault="00E57B92" w:rsidP="008208C2">
            <w:pPr>
              <w:shd w:val="clear" w:color="auto" w:fill="FFFFFF"/>
              <w:rPr>
                <w:sz w:val="20"/>
                <w:szCs w:val="20"/>
              </w:rPr>
            </w:pPr>
            <w:r w:rsidRPr="00921A0C">
              <w:rPr>
                <w:sz w:val="20"/>
                <w:szCs w:val="20"/>
              </w:rPr>
              <w:t>31.</w:t>
            </w:r>
          </w:p>
        </w:tc>
        <w:tc>
          <w:tcPr>
            <w:tcW w:w="7263" w:type="dxa"/>
            <w:vAlign w:val="bottom"/>
          </w:tcPr>
          <w:p w:rsidR="00E57B92" w:rsidRPr="00921A0C" w:rsidRDefault="00E57B92" w:rsidP="008208C2">
            <w:pPr>
              <w:shd w:val="clear" w:color="auto" w:fill="FFFFFF"/>
              <w:rPr>
                <w:sz w:val="20"/>
                <w:szCs w:val="20"/>
              </w:rPr>
            </w:pPr>
            <w:r w:rsidRPr="00921A0C">
              <w:rPr>
                <w:sz w:val="20"/>
                <w:szCs w:val="20"/>
              </w:rPr>
              <w:t xml:space="preserve">Avokatët </w:t>
            </w:r>
          </w:p>
        </w:tc>
        <w:tc>
          <w:tcPr>
            <w:tcW w:w="1260" w:type="dxa"/>
          </w:tcPr>
          <w:p w:rsidR="00E57B92" w:rsidRPr="00921A0C" w:rsidRDefault="00E57B92" w:rsidP="008208C2">
            <w:pPr>
              <w:jc w:val="right"/>
              <w:rPr>
                <w:sz w:val="20"/>
                <w:szCs w:val="20"/>
              </w:rPr>
            </w:pPr>
            <w:r w:rsidRPr="00921A0C">
              <w:rPr>
                <w:sz w:val="20"/>
                <w:szCs w:val="20"/>
              </w:rPr>
              <w:t>200.00</w:t>
            </w:r>
          </w:p>
        </w:tc>
      </w:tr>
      <w:tr w:rsidR="00E57B92" w:rsidRPr="00BB4B87" w:rsidTr="008208C2">
        <w:trPr>
          <w:trHeight w:val="215"/>
        </w:trPr>
        <w:tc>
          <w:tcPr>
            <w:tcW w:w="657" w:type="dxa"/>
            <w:vAlign w:val="bottom"/>
          </w:tcPr>
          <w:p w:rsidR="00E57B92" w:rsidRPr="00921A0C" w:rsidRDefault="00E57B92" w:rsidP="008208C2">
            <w:pPr>
              <w:shd w:val="clear" w:color="auto" w:fill="FFFFFF"/>
              <w:rPr>
                <w:sz w:val="20"/>
                <w:szCs w:val="20"/>
              </w:rPr>
            </w:pPr>
            <w:r w:rsidRPr="00921A0C">
              <w:rPr>
                <w:sz w:val="20"/>
                <w:szCs w:val="20"/>
              </w:rPr>
              <w:t>32.</w:t>
            </w:r>
          </w:p>
        </w:tc>
        <w:tc>
          <w:tcPr>
            <w:tcW w:w="7263" w:type="dxa"/>
            <w:vAlign w:val="bottom"/>
          </w:tcPr>
          <w:p w:rsidR="00E57B92" w:rsidRPr="00921A0C" w:rsidRDefault="00E57B92" w:rsidP="008208C2">
            <w:pPr>
              <w:shd w:val="clear" w:color="auto" w:fill="FFFFFF"/>
              <w:rPr>
                <w:sz w:val="20"/>
                <w:szCs w:val="20"/>
              </w:rPr>
            </w:pPr>
            <w:r w:rsidRPr="00921A0C">
              <w:rPr>
                <w:sz w:val="20"/>
                <w:szCs w:val="20"/>
              </w:rPr>
              <w:t>Përmbaruesit privatë</w:t>
            </w:r>
          </w:p>
        </w:tc>
        <w:tc>
          <w:tcPr>
            <w:tcW w:w="1260" w:type="dxa"/>
          </w:tcPr>
          <w:p w:rsidR="00E57B92" w:rsidRPr="00921A0C" w:rsidRDefault="00E57B92" w:rsidP="008208C2">
            <w:pPr>
              <w:jc w:val="right"/>
              <w:rPr>
                <w:sz w:val="20"/>
                <w:szCs w:val="20"/>
              </w:rPr>
            </w:pPr>
            <w:r w:rsidRPr="00921A0C">
              <w:rPr>
                <w:sz w:val="20"/>
                <w:szCs w:val="20"/>
              </w:rPr>
              <w:t>150.00</w:t>
            </w:r>
          </w:p>
        </w:tc>
      </w:tr>
    </w:tbl>
    <w:p w:rsidR="00E57B92" w:rsidRPr="00B908C9" w:rsidRDefault="00E57B92" w:rsidP="00BC463D">
      <w:pPr>
        <w:jc w:val="both"/>
        <w:rPr>
          <w:b/>
        </w:rPr>
      </w:pPr>
    </w:p>
    <w:p w:rsidR="00E57B92" w:rsidRPr="0028435D" w:rsidRDefault="00E57B92" w:rsidP="00BC463D">
      <w:pPr>
        <w:jc w:val="both"/>
        <w:rPr>
          <w:b/>
        </w:rPr>
      </w:pPr>
    </w:p>
    <w:tbl>
      <w:tblPr>
        <w:tblW w:w="0" w:type="auto"/>
        <w:tblInd w:w="198" w:type="dxa"/>
        <w:tblLook w:val="00A0"/>
      </w:tblPr>
      <w:tblGrid>
        <w:gridCol w:w="630"/>
        <w:gridCol w:w="8550"/>
      </w:tblGrid>
      <w:tr w:rsidR="00E57B92" w:rsidRPr="00BB4B87" w:rsidTr="008208C2">
        <w:tc>
          <w:tcPr>
            <w:tcW w:w="630" w:type="dxa"/>
          </w:tcPr>
          <w:p w:rsidR="00E57B92" w:rsidRPr="00BB4B87" w:rsidRDefault="00E57B92" w:rsidP="008208C2">
            <w:pPr>
              <w:jc w:val="right"/>
            </w:pPr>
            <w:r w:rsidRPr="00BB4B87">
              <w:rPr>
                <w:sz w:val="22"/>
                <w:szCs w:val="22"/>
              </w:rPr>
              <w:t>2.</w:t>
            </w:r>
          </w:p>
        </w:tc>
        <w:tc>
          <w:tcPr>
            <w:tcW w:w="8550" w:type="dxa"/>
          </w:tcPr>
          <w:p w:rsidR="00E57B92" w:rsidRPr="00BB4B87" w:rsidRDefault="00E57B92" w:rsidP="008208C2">
            <w:pPr>
              <w:pStyle w:val="ListParagraph"/>
              <w:shd w:val="clear" w:color="auto" w:fill="FFFFFF"/>
              <w:ind w:left="0"/>
            </w:pPr>
            <w:r w:rsidRPr="00BB4B87">
              <w:rPr>
                <w:sz w:val="22"/>
                <w:szCs w:val="22"/>
              </w:rPr>
              <w:t>Tarifat dhe ngarkesat  prej 1-</w:t>
            </w:r>
            <w:r>
              <w:rPr>
                <w:sz w:val="22"/>
                <w:szCs w:val="22"/>
              </w:rPr>
              <w:t xml:space="preserve">32 </w:t>
            </w:r>
            <w:r w:rsidRPr="00BB4B87">
              <w:rPr>
                <w:sz w:val="22"/>
                <w:szCs w:val="22"/>
              </w:rPr>
              <w:t xml:space="preserve"> sipas nenit 4 paragrafi 1 të kësaj rregulloreje, mund të paguhen në 2 këste (kësti i parë deri më 30 qershor, kurse kësti i dytë deri më 31 dhjetor të vitit përkatës). </w:t>
            </w:r>
          </w:p>
        </w:tc>
      </w:tr>
      <w:tr w:rsidR="00E57B92" w:rsidRPr="00BB4B87" w:rsidTr="008208C2">
        <w:tc>
          <w:tcPr>
            <w:tcW w:w="630" w:type="dxa"/>
          </w:tcPr>
          <w:p w:rsidR="00E57B92" w:rsidRPr="00BB4B87" w:rsidRDefault="00E57B92" w:rsidP="008208C2">
            <w:pPr>
              <w:jc w:val="right"/>
            </w:pPr>
            <w:r w:rsidRPr="00BB4B87">
              <w:rPr>
                <w:sz w:val="22"/>
                <w:szCs w:val="22"/>
              </w:rPr>
              <w:t>3.</w:t>
            </w:r>
          </w:p>
        </w:tc>
        <w:tc>
          <w:tcPr>
            <w:tcW w:w="8550" w:type="dxa"/>
          </w:tcPr>
          <w:p w:rsidR="00E57B92" w:rsidRPr="00BB4B87" w:rsidRDefault="00E57B92" w:rsidP="008208C2">
            <w:pPr>
              <w:pStyle w:val="ListParagraph"/>
              <w:shd w:val="clear" w:color="auto" w:fill="FFFFFF"/>
              <w:ind w:left="0"/>
            </w:pPr>
            <w:r w:rsidRPr="00BB4B87">
              <w:rPr>
                <w:sz w:val="22"/>
                <w:szCs w:val="22"/>
              </w:rPr>
              <w:t>Subjektet afariste që operojnë brenda territorit të komunës në ma shumë lokacione paguajnë 40% të bazës së tarifës.</w:t>
            </w:r>
          </w:p>
        </w:tc>
      </w:tr>
    </w:tbl>
    <w:p w:rsidR="00E57B92" w:rsidRPr="00BB4B87" w:rsidRDefault="00E57B92" w:rsidP="00BC463D">
      <w:pPr>
        <w:widowControl w:val="0"/>
        <w:kinsoku w:val="0"/>
        <w:rPr>
          <w:spacing w:val="-2"/>
          <w:w w:val="105"/>
          <w:sz w:val="22"/>
          <w:szCs w:val="22"/>
        </w:rPr>
      </w:pPr>
    </w:p>
    <w:p w:rsidR="00E57B92" w:rsidRPr="00BB4B87" w:rsidRDefault="00E57B92" w:rsidP="00BC463D">
      <w:pPr>
        <w:jc w:val="center"/>
        <w:rPr>
          <w:b/>
          <w:sz w:val="22"/>
          <w:szCs w:val="22"/>
        </w:rPr>
      </w:pPr>
      <w:r w:rsidRPr="00BB4B87">
        <w:rPr>
          <w:b/>
          <w:sz w:val="22"/>
          <w:szCs w:val="22"/>
        </w:rPr>
        <w:t xml:space="preserve">Neni </w:t>
      </w:r>
      <w:r>
        <w:rPr>
          <w:b/>
          <w:sz w:val="22"/>
          <w:szCs w:val="22"/>
        </w:rPr>
        <w:t>3</w:t>
      </w:r>
    </w:p>
    <w:p w:rsidR="00E57B92" w:rsidRPr="00BB4B87" w:rsidRDefault="00E57B92" w:rsidP="00BC463D">
      <w:pPr>
        <w:jc w:val="center"/>
        <w:rPr>
          <w:b/>
          <w:sz w:val="22"/>
          <w:szCs w:val="22"/>
        </w:rPr>
      </w:pPr>
    </w:p>
    <w:p w:rsidR="00E57B92" w:rsidRPr="00BB4B87" w:rsidRDefault="00E57B92" w:rsidP="00BC463D">
      <w:pPr>
        <w:rPr>
          <w:b/>
          <w:sz w:val="22"/>
          <w:szCs w:val="22"/>
        </w:rPr>
      </w:pPr>
      <w:r w:rsidRPr="00BB4B87">
        <w:rPr>
          <w:sz w:val="22"/>
          <w:szCs w:val="22"/>
        </w:rPr>
        <w:t xml:space="preserve">Pas miratimit të </w:t>
      </w:r>
      <w:r>
        <w:rPr>
          <w:sz w:val="22"/>
          <w:szCs w:val="22"/>
        </w:rPr>
        <w:t xml:space="preserve">harmonizimeve </w:t>
      </w:r>
      <w:r w:rsidRPr="00BB4B87">
        <w:rPr>
          <w:sz w:val="22"/>
          <w:szCs w:val="22"/>
        </w:rPr>
        <w:t xml:space="preserve">në rregulloren bazë, </w:t>
      </w:r>
      <w:r>
        <w:rPr>
          <w:sz w:val="22"/>
          <w:szCs w:val="22"/>
        </w:rPr>
        <w:t xml:space="preserve">bëhet </w:t>
      </w:r>
      <w:r w:rsidRPr="00BB4B87">
        <w:rPr>
          <w:sz w:val="22"/>
          <w:szCs w:val="22"/>
        </w:rPr>
        <w:t xml:space="preserve">teksti i spastruar </w:t>
      </w:r>
      <w:r>
        <w:rPr>
          <w:sz w:val="22"/>
          <w:szCs w:val="22"/>
        </w:rPr>
        <w:t xml:space="preserve">i rregullores. </w:t>
      </w:r>
    </w:p>
    <w:p w:rsidR="00E57B92" w:rsidRPr="00BB4B87" w:rsidRDefault="00E57B92" w:rsidP="00BC463D">
      <w:pPr>
        <w:rPr>
          <w:sz w:val="22"/>
          <w:szCs w:val="22"/>
        </w:rPr>
      </w:pPr>
    </w:p>
    <w:p w:rsidR="00E57B92" w:rsidRDefault="00E57B92" w:rsidP="00BC463D">
      <w:pPr>
        <w:jc w:val="center"/>
        <w:rPr>
          <w:b/>
          <w:sz w:val="22"/>
          <w:szCs w:val="22"/>
        </w:rPr>
      </w:pPr>
      <w:r w:rsidRPr="00BB4B87">
        <w:rPr>
          <w:b/>
          <w:sz w:val="22"/>
          <w:szCs w:val="22"/>
        </w:rPr>
        <w:t xml:space="preserve">Neni </w:t>
      </w:r>
      <w:r>
        <w:rPr>
          <w:b/>
          <w:sz w:val="22"/>
          <w:szCs w:val="22"/>
        </w:rPr>
        <w:t>4</w:t>
      </w:r>
    </w:p>
    <w:p w:rsidR="00E57B92" w:rsidRPr="00BB4B87" w:rsidRDefault="00E57B92" w:rsidP="00BC463D">
      <w:pPr>
        <w:jc w:val="center"/>
        <w:rPr>
          <w:b/>
          <w:sz w:val="22"/>
          <w:szCs w:val="22"/>
        </w:rPr>
      </w:pPr>
    </w:p>
    <w:p w:rsidR="00E57B92" w:rsidRPr="00BB4B87" w:rsidRDefault="00E57B92" w:rsidP="00BC463D">
      <w:pPr>
        <w:jc w:val="center"/>
        <w:rPr>
          <w:sz w:val="22"/>
          <w:szCs w:val="22"/>
        </w:rPr>
      </w:pPr>
      <w:r w:rsidRPr="00BB4B87">
        <w:rPr>
          <w:sz w:val="22"/>
          <w:szCs w:val="22"/>
        </w:rPr>
        <w:t>Hyrja ne fuqi</w:t>
      </w:r>
    </w:p>
    <w:p w:rsidR="00E57B92" w:rsidRPr="00BB4B87" w:rsidRDefault="00E57B92" w:rsidP="00BC463D">
      <w:pPr>
        <w:jc w:val="both"/>
        <w:rPr>
          <w:sz w:val="22"/>
          <w:szCs w:val="22"/>
        </w:rPr>
      </w:pPr>
      <w:r w:rsidRPr="00BB4B87">
        <w:rPr>
          <w:sz w:val="22"/>
          <w:szCs w:val="22"/>
        </w:rPr>
        <w:t xml:space="preserve"> </w:t>
      </w:r>
    </w:p>
    <w:p w:rsidR="00E57B92" w:rsidRPr="00BB4B87" w:rsidRDefault="00E57B92" w:rsidP="00BC463D">
      <w:pPr>
        <w:autoSpaceDE w:val="0"/>
        <w:autoSpaceDN w:val="0"/>
        <w:adjustRightInd w:val="0"/>
        <w:rPr>
          <w:sz w:val="22"/>
          <w:szCs w:val="22"/>
        </w:rPr>
      </w:pPr>
      <w:r w:rsidRPr="00BB4B87">
        <w:rPr>
          <w:sz w:val="22"/>
          <w:szCs w:val="22"/>
        </w:rPr>
        <w:t>Kjo rregullore hyn në fuqi 15 ditë pas regjistrimit në zyrën e protokollit  të MAPL-së dhe publikimit në  gjuhën zyrtare në ueb faqen e Komunës.</w:t>
      </w:r>
    </w:p>
    <w:p w:rsidR="00E57B92" w:rsidRPr="00BB4B87" w:rsidRDefault="00E57B92" w:rsidP="00BC463D">
      <w:pPr>
        <w:jc w:val="both"/>
        <w:rPr>
          <w:sz w:val="22"/>
          <w:szCs w:val="22"/>
        </w:rPr>
      </w:pPr>
    </w:p>
    <w:p w:rsidR="00E57B92" w:rsidRPr="00BB4B87" w:rsidRDefault="00E57B92" w:rsidP="00BC463D">
      <w:pPr>
        <w:pStyle w:val="BodyTextIndent"/>
        <w:shd w:val="clear" w:color="auto" w:fill="FFFFFF"/>
        <w:tabs>
          <w:tab w:val="left" w:pos="3420"/>
        </w:tabs>
        <w:ind w:left="0"/>
        <w:rPr>
          <w:sz w:val="22"/>
          <w:szCs w:val="22"/>
        </w:rPr>
      </w:pPr>
      <w:r w:rsidRPr="00BB4B87">
        <w:rPr>
          <w:sz w:val="22"/>
          <w:szCs w:val="22"/>
        </w:rPr>
        <w:t xml:space="preserve">                                           </w:t>
      </w:r>
    </w:p>
    <w:p w:rsidR="00E57B92" w:rsidRDefault="00E57B92" w:rsidP="00BC463D">
      <w:pPr>
        <w:pStyle w:val="BodyTextIndent"/>
        <w:shd w:val="clear" w:color="auto" w:fill="FFFFFF"/>
        <w:tabs>
          <w:tab w:val="left" w:pos="3420"/>
        </w:tabs>
        <w:ind w:left="0"/>
        <w:rPr>
          <w:bCs/>
          <w:sz w:val="22"/>
          <w:szCs w:val="22"/>
        </w:rPr>
      </w:pPr>
      <w:r w:rsidRPr="00BB4B87">
        <w:rPr>
          <w:bCs/>
          <w:sz w:val="22"/>
          <w:szCs w:val="22"/>
        </w:rPr>
        <w:t xml:space="preserve">          </w:t>
      </w:r>
      <w:r w:rsidRPr="00BB4B87">
        <w:rPr>
          <w:bCs/>
          <w:sz w:val="22"/>
          <w:szCs w:val="22"/>
        </w:rPr>
        <w:tab/>
      </w:r>
      <w:r w:rsidRPr="00BB4B87">
        <w:rPr>
          <w:bCs/>
          <w:sz w:val="22"/>
          <w:szCs w:val="22"/>
        </w:rPr>
        <w:tab/>
      </w:r>
      <w:r w:rsidRPr="00BB4B87">
        <w:rPr>
          <w:bCs/>
          <w:sz w:val="22"/>
          <w:szCs w:val="22"/>
        </w:rPr>
        <w:tab/>
        <w:t xml:space="preserve">                               </w:t>
      </w:r>
      <w:r>
        <w:rPr>
          <w:bCs/>
          <w:sz w:val="22"/>
          <w:szCs w:val="22"/>
        </w:rPr>
        <w:t xml:space="preserve">   </w:t>
      </w:r>
      <w:r w:rsidRPr="00BB4B87">
        <w:rPr>
          <w:bCs/>
          <w:sz w:val="22"/>
          <w:szCs w:val="22"/>
        </w:rPr>
        <w:t xml:space="preserve">    Kryesuesja e Kuvendit</w:t>
      </w:r>
    </w:p>
    <w:p w:rsidR="00E57B92" w:rsidRPr="00BB4B87" w:rsidRDefault="00E57B92" w:rsidP="00BC463D">
      <w:pPr>
        <w:pStyle w:val="BodyTextIndent"/>
        <w:shd w:val="clear" w:color="auto" w:fill="FFFFFF"/>
        <w:tabs>
          <w:tab w:val="left" w:pos="3420"/>
        </w:tabs>
        <w:ind w:left="0"/>
        <w:rPr>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_____________________</w:t>
      </w:r>
      <w:r w:rsidRPr="00BB4B87">
        <w:rPr>
          <w:bCs/>
          <w:sz w:val="22"/>
          <w:szCs w:val="22"/>
        </w:rPr>
        <w:t xml:space="preserve"> </w:t>
      </w:r>
    </w:p>
    <w:p w:rsidR="00E57B92" w:rsidRPr="00BB4B87" w:rsidRDefault="00E57B92" w:rsidP="00BC463D">
      <w:pPr>
        <w:pStyle w:val="BlockText"/>
        <w:shd w:val="clear" w:color="auto" w:fill="FFFFFF"/>
        <w:ind w:left="0"/>
      </w:pPr>
      <w:r w:rsidRPr="00BB4B87">
        <w:rPr>
          <w:bCs/>
          <w:sz w:val="22"/>
          <w:szCs w:val="22"/>
        </w:rPr>
        <w:t xml:space="preserve">                                              </w:t>
      </w:r>
      <w:r>
        <w:rPr>
          <w:bCs/>
          <w:sz w:val="22"/>
          <w:szCs w:val="22"/>
        </w:rPr>
        <w:t xml:space="preserve">                                                                      </w:t>
      </w:r>
      <w:r w:rsidRPr="00BB4B87">
        <w:rPr>
          <w:bCs/>
          <w:sz w:val="22"/>
          <w:szCs w:val="22"/>
        </w:rPr>
        <w:t>Valentina Bunjaku Rexhepi</w:t>
      </w:r>
      <w:r w:rsidRPr="0030537B">
        <w:rPr>
          <w:b/>
          <w:sz w:val="22"/>
          <w:szCs w:val="22"/>
        </w:rPr>
        <w:t xml:space="preserve">     </w:t>
      </w:r>
    </w:p>
    <w:p w:rsidR="00E57B92" w:rsidRPr="0030537B" w:rsidRDefault="00E57B92" w:rsidP="00BC463D">
      <w:pPr>
        <w:shd w:val="clear" w:color="auto" w:fill="FFFFFF"/>
        <w:tabs>
          <w:tab w:val="left" w:pos="7155"/>
        </w:tabs>
        <w:rPr>
          <w:b/>
          <w:sz w:val="22"/>
          <w:szCs w:val="22"/>
        </w:rPr>
      </w:pPr>
      <w:r w:rsidRPr="0030537B">
        <w:rPr>
          <w:b/>
          <w:sz w:val="22"/>
          <w:szCs w:val="22"/>
        </w:rPr>
        <w:t xml:space="preserve">01. </w:t>
      </w:r>
      <w:r>
        <w:rPr>
          <w:b/>
          <w:sz w:val="22"/>
          <w:szCs w:val="22"/>
        </w:rPr>
        <w:t>nr.</w:t>
      </w:r>
      <w:r>
        <w:rPr>
          <w:b/>
          <w:sz w:val="22"/>
          <w:szCs w:val="22"/>
          <w:u w:val="single"/>
        </w:rPr>
        <w:t xml:space="preserve">   016-26468      </w:t>
      </w:r>
      <w:r>
        <w:rPr>
          <w:b/>
          <w:sz w:val="22"/>
          <w:szCs w:val="22"/>
        </w:rPr>
        <w:t xml:space="preserve">                                                            </w:t>
      </w:r>
    </w:p>
    <w:p w:rsidR="00E57B92" w:rsidRDefault="00E57B92" w:rsidP="00BC463D">
      <w:pPr>
        <w:shd w:val="clear" w:color="auto" w:fill="FFFFFF"/>
        <w:rPr>
          <w:b/>
          <w:sz w:val="22"/>
          <w:szCs w:val="22"/>
        </w:rPr>
      </w:pPr>
      <w:r w:rsidRPr="0030537B">
        <w:rPr>
          <w:b/>
          <w:sz w:val="22"/>
          <w:szCs w:val="22"/>
        </w:rPr>
        <w:t xml:space="preserve">Gjilan, më </w:t>
      </w:r>
      <w:r>
        <w:rPr>
          <w:b/>
          <w:sz w:val="22"/>
          <w:szCs w:val="22"/>
        </w:rPr>
        <w:t>11.03.2015</w:t>
      </w:r>
    </w:p>
    <w:p w:rsidR="00E57B92" w:rsidRDefault="00E57B92" w:rsidP="00BC463D">
      <w:pPr>
        <w:jc w:val="both"/>
        <w:rPr>
          <w:b/>
        </w:rPr>
      </w:pPr>
    </w:p>
    <w:p w:rsidR="00E57B92" w:rsidRDefault="00E57B92" w:rsidP="0096372B">
      <w:pPr>
        <w:jc w:val="center"/>
        <w:rPr>
          <w:b/>
        </w:rPr>
      </w:pPr>
    </w:p>
    <w:p w:rsidR="00E57B92" w:rsidRPr="007105F0" w:rsidRDefault="00E57B92" w:rsidP="0096372B">
      <w:pPr>
        <w:jc w:val="center"/>
        <w:rPr>
          <w:b/>
        </w:rPr>
      </w:pPr>
      <w:r w:rsidRPr="007105F0">
        <w:rPr>
          <w:b/>
        </w:rPr>
        <w:t>A r s y e t i m i</w:t>
      </w:r>
    </w:p>
    <w:p w:rsidR="00E57B92" w:rsidRPr="00BB4B87" w:rsidRDefault="00E57B92" w:rsidP="00BC463D">
      <w:pPr>
        <w:jc w:val="both"/>
      </w:pPr>
    </w:p>
    <w:p w:rsidR="00E57B92" w:rsidRPr="00491625" w:rsidRDefault="00E57B92" w:rsidP="00491625">
      <w:pPr>
        <w:jc w:val="both"/>
        <w:rPr>
          <w:b/>
        </w:rPr>
      </w:pPr>
      <w:r w:rsidRPr="00491625">
        <w:rPr>
          <w:b/>
        </w:rPr>
        <w:t xml:space="preserve">Komisioni i përbashkët ndërministror i Ministrisë së Financave (MF) dhe Ministrisë së Administrimit të Pushtetit Lokal (MAPL) me dt. 13.01.2015 ka pranuar dhe ka marrë në shqyrtim Rregulloren për plotësimet dhe ndryshimet e rregullores për taksa ngarkesa e gjoba  01. nr. 016-144322 të komunës së Gjilanit të miratuar nga KK-ja me dt. 30.12.2014  dhe lidhur me vlerësimin e ligjshmërisë ka kërkuar të harmonizohet neni 3 pika 1 e rregullores në fjalë sepse është në kundërshtim me nenin  10 pika 3 të Ligjit për financa të pushtetit lokal  nr. 03/L-049. </w:t>
      </w:r>
    </w:p>
    <w:p w:rsidR="00E57B92" w:rsidRPr="00491625" w:rsidRDefault="00E57B92" w:rsidP="00491625">
      <w:pPr>
        <w:jc w:val="both"/>
        <w:rPr>
          <w:b/>
        </w:rPr>
      </w:pPr>
    </w:p>
    <w:p w:rsidR="00E57B92" w:rsidRPr="00491625" w:rsidRDefault="00E57B92" w:rsidP="00491625">
      <w:pPr>
        <w:jc w:val="both"/>
        <w:rPr>
          <w:b/>
        </w:rPr>
      </w:pPr>
      <w:r w:rsidRPr="00491625">
        <w:rPr>
          <w:b/>
        </w:rPr>
        <w:t>Po ashtu edhe pse në shkresë të komisionit nuk është cekur decidivisht, kërkohet që me rastin e caktimit të mundshëm të taksës komunale për veprimtari të ndryshme biznesore të mos merren parasysh kriteret e përcaktuara në nenin 10 paragrafi 4 të ligjit për financat e pushtetit lokal duke përfshirë edhe m</w:t>
      </w:r>
      <w:r w:rsidRPr="00491625">
        <w:rPr>
          <w:b/>
          <w:vertAlign w:val="superscript"/>
        </w:rPr>
        <w:t>2</w:t>
      </w:r>
      <w:r w:rsidRPr="00491625">
        <w:rPr>
          <w:b/>
        </w:rPr>
        <w:t>.</w:t>
      </w:r>
    </w:p>
    <w:p w:rsidR="00E57B92" w:rsidRPr="00491625" w:rsidRDefault="00E57B92" w:rsidP="00491625">
      <w:pPr>
        <w:jc w:val="both"/>
        <w:rPr>
          <w:b/>
        </w:rPr>
      </w:pPr>
    </w:p>
    <w:p w:rsidR="00E57B92" w:rsidRPr="00491625" w:rsidRDefault="00E57B92" w:rsidP="00491625">
      <w:pPr>
        <w:jc w:val="both"/>
        <w:rPr>
          <w:b/>
        </w:rPr>
      </w:pPr>
      <w:r w:rsidRPr="00491625">
        <w:rPr>
          <w:b/>
        </w:rPr>
        <w:t>Formulimet ku përmendet m</w:t>
      </w:r>
      <w:r w:rsidRPr="00491625">
        <w:rPr>
          <w:b/>
          <w:vertAlign w:val="superscript"/>
        </w:rPr>
        <w:t>2</w:t>
      </w:r>
      <w:r w:rsidRPr="00491625">
        <w:rPr>
          <w:b/>
        </w:rPr>
        <w:t xml:space="preserve"> duhet hiqet nga neni 3 pika 1 i rregullores për ndryshimin dhe plotësimin e rregullores  për taksa, ngarkesa dhe gjoba të miratuar me 30 dhjetor 2014 duke harmonizuar tarifat nr. 12,13,14,15,16,20, 21, 22 dhe 23.</w:t>
      </w:r>
    </w:p>
    <w:p w:rsidR="00E57B92" w:rsidRPr="00491625" w:rsidRDefault="00E57B92" w:rsidP="00491625">
      <w:pPr>
        <w:jc w:val="both"/>
        <w:rPr>
          <w:b/>
        </w:rPr>
      </w:pPr>
    </w:p>
    <w:p w:rsidR="00E57B92" w:rsidRPr="00491625" w:rsidRDefault="00E57B92" w:rsidP="00491625">
      <w:pPr>
        <w:jc w:val="both"/>
        <w:rPr>
          <w:b/>
        </w:rPr>
      </w:pPr>
      <w:r w:rsidRPr="00491625">
        <w:rPr>
          <w:b/>
        </w:rPr>
        <w:t xml:space="preserve">Harmonizimi ka të bëjë lidhur me emërtimet e përmendura në tekstin e tarifave për biznese ku është kërkuar që të hiqen emërtimet aktuale për disa biznese dhe emërtimi të jetë në pajtim me terminologjinë që përdoret në Ligjin për ndërmjet publike dhe nenin 10 paragrafin 3 të ligjit për financat e pushtetit lokal nr. 03/L- 049.  </w:t>
      </w: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r w:rsidRPr="00491625">
        <w:rPr>
          <w:b/>
        </w:rPr>
        <w:t>Tarifat e miratuara më 30.12.2014</w:t>
      </w:r>
    </w:p>
    <w:p w:rsidR="00E57B92" w:rsidRPr="00491625" w:rsidRDefault="00E57B92" w:rsidP="00491625">
      <w:pPr>
        <w:jc w:val="both"/>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7263"/>
        <w:gridCol w:w="1350"/>
      </w:tblGrid>
      <w:tr w:rsidR="00E57B92" w:rsidRPr="00491625" w:rsidTr="0087170A">
        <w:tc>
          <w:tcPr>
            <w:tcW w:w="657" w:type="dxa"/>
          </w:tcPr>
          <w:p w:rsidR="00E57B92" w:rsidRPr="00491625" w:rsidRDefault="00E57B92" w:rsidP="0087170A">
            <w:pPr>
              <w:rPr>
                <w:sz w:val="20"/>
                <w:szCs w:val="20"/>
              </w:rPr>
            </w:pPr>
            <w:r w:rsidRPr="00491625">
              <w:rPr>
                <w:sz w:val="20"/>
                <w:szCs w:val="20"/>
              </w:rPr>
              <w:t>N/r</w:t>
            </w:r>
          </w:p>
        </w:tc>
        <w:tc>
          <w:tcPr>
            <w:tcW w:w="7263" w:type="dxa"/>
          </w:tcPr>
          <w:p w:rsidR="00E57B92" w:rsidRPr="00491625" w:rsidRDefault="00E57B92" w:rsidP="0087170A">
            <w:pPr>
              <w:rPr>
                <w:sz w:val="20"/>
                <w:szCs w:val="20"/>
              </w:rPr>
            </w:pPr>
            <w:r w:rsidRPr="00491625">
              <w:rPr>
                <w:bCs/>
                <w:sz w:val="20"/>
                <w:szCs w:val="20"/>
              </w:rPr>
              <w:t>V e p r i m t a r i t ë/a f a r i s t e</w:t>
            </w:r>
          </w:p>
        </w:tc>
        <w:tc>
          <w:tcPr>
            <w:tcW w:w="1350" w:type="dxa"/>
          </w:tcPr>
          <w:p w:rsidR="00E57B92" w:rsidRPr="00491625" w:rsidRDefault="00E57B92" w:rsidP="0087170A">
            <w:pPr>
              <w:jc w:val="center"/>
              <w:rPr>
                <w:sz w:val="20"/>
                <w:szCs w:val="20"/>
              </w:rPr>
            </w:pPr>
            <w:r w:rsidRPr="00491625">
              <w:rPr>
                <w:sz w:val="20"/>
                <w:szCs w:val="20"/>
              </w:rPr>
              <w:t>Taksa &amp; tarifa  €</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Kompanitë  publike regjionale (Hidromorava, Eco-Higjiena)</w:t>
            </w:r>
          </w:p>
        </w:tc>
        <w:tc>
          <w:tcPr>
            <w:tcW w:w="1350" w:type="dxa"/>
          </w:tcPr>
          <w:p w:rsidR="00E57B92" w:rsidRPr="00491625" w:rsidRDefault="00E57B92" w:rsidP="0087170A">
            <w:pPr>
              <w:jc w:val="right"/>
              <w:rPr>
                <w:sz w:val="20"/>
                <w:szCs w:val="20"/>
              </w:rPr>
            </w:pPr>
            <w:r w:rsidRPr="00491625">
              <w:rPr>
                <w:sz w:val="20"/>
                <w:szCs w:val="20"/>
              </w:rPr>
              <w:t>600.00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2.</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Kompanitë  Publike Lokale (Stacioni i Autobusëve) </w:t>
            </w:r>
          </w:p>
        </w:tc>
        <w:tc>
          <w:tcPr>
            <w:tcW w:w="1350" w:type="dxa"/>
          </w:tcPr>
          <w:p w:rsidR="00E57B92" w:rsidRPr="00491625" w:rsidRDefault="00E57B92" w:rsidP="0087170A">
            <w:pPr>
              <w:jc w:val="right"/>
              <w:rPr>
                <w:b/>
                <w:sz w:val="20"/>
                <w:szCs w:val="20"/>
              </w:rPr>
            </w:pPr>
            <w:r w:rsidRPr="00491625">
              <w:rPr>
                <w:b/>
                <w:sz w:val="20"/>
                <w:szCs w:val="20"/>
              </w:rPr>
              <w:t>300.00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Kompanitë  publike nacionale (PTK) </w:t>
            </w:r>
          </w:p>
        </w:tc>
        <w:tc>
          <w:tcPr>
            <w:tcW w:w="1350" w:type="dxa"/>
          </w:tcPr>
          <w:p w:rsidR="00E57B92" w:rsidRPr="00491625" w:rsidRDefault="00E57B92" w:rsidP="0087170A">
            <w:pPr>
              <w:jc w:val="right"/>
              <w:rPr>
                <w:sz w:val="20"/>
                <w:szCs w:val="20"/>
              </w:rPr>
            </w:pPr>
            <w:r w:rsidRPr="00491625">
              <w:rPr>
                <w:sz w:val="20"/>
                <w:szCs w:val="20"/>
              </w:rPr>
              <w:t>1500.00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4.</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Kompanitë  publike nacionale (Posta) </w:t>
            </w:r>
          </w:p>
        </w:tc>
        <w:tc>
          <w:tcPr>
            <w:tcW w:w="1350" w:type="dxa"/>
          </w:tcPr>
          <w:p w:rsidR="00E57B92" w:rsidRPr="00491625" w:rsidRDefault="00E57B92" w:rsidP="0087170A">
            <w:pPr>
              <w:jc w:val="right"/>
              <w:rPr>
                <w:b/>
                <w:sz w:val="20"/>
                <w:szCs w:val="20"/>
              </w:rPr>
            </w:pPr>
            <w:r w:rsidRPr="00491625">
              <w:rPr>
                <w:b/>
                <w:sz w:val="20"/>
                <w:szCs w:val="20"/>
              </w:rPr>
              <w:t>750.00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5.</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Kompania (KEDS)</w:t>
            </w:r>
          </w:p>
        </w:tc>
        <w:tc>
          <w:tcPr>
            <w:tcW w:w="1350" w:type="dxa"/>
          </w:tcPr>
          <w:p w:rsidR="00E57B92" w:rsidRPr="00491625" w:rsidRDefault="00E57B92" w:rsidP="0087170A">
            <w:pPr>
              <w:jc w:val="right"/>
              <w:rPr>
                <w:sz w:val="20"/>
                <w:szCs w:val="20"/>
              </w:rPr>
            </w:pPr>
            <w:r w:rsidRPr="00491625">
              <w:rPr>
                <w:sz w:val="20"/>
                <w:szCs w:val="20"/>
              </w:rPr>
              <w:t>1500.00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6.</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Kompanitë e sigurimeve-baza </w:t>
            </w:r>
          </w:p>
        </w:tc>
        <w:tc>
          <w:tcPr>
            <w:tcW w:w="1350" w:type="dxa"/>
          </w:tcPr>
          <w:p w:rsidR="00E57B92" w:rsidRPr="00491625" w:rsidRDefault="00E57B92" w:rsidP="0087170A">
            <w:pPr>
              <w:jc w:val="right"/>
              <w:rPr>
                <w:sz w:val="20"/>
                <w:szCs w:val="20"/>
              </w:rPr>
            </w:pPr>
            <w:r w:rsidRPr="00491625">
              <w:rPr>
                <w:sz w:val="20"/>
                <w:szCs w:val="20"/>
              </w:rPr>
              <w:t>800.00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7.</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Kontrollimet teknike</w:t>
            </w:r>
          </w:p>
        </w:tc>
        <w:tc>
          <w:tcPr>
            <w:tcW w:w="135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8.</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Bankat ekspoziturat-filialet                                                  </w:t>
            </w:r>
          </w:p>
        </w:tc>
        <w:tc>
          <w:tcPr>
            <w:tcW w:w="1350" w:type="dxa"/>
          </w:tcPr>
          <w:p w:rsidR="00E57B92" w:rsidRPr="00491625" w:rsidRDefault="00E57B92" w:rsidP="0087170A">
            <w:pPr>
              <w:jc w:val="right"/>
              <w:rPr>
                <w:sz w:val="20"/>
                <w:szCs w:val="20"/>
              </w:rPr>
            </w:pPr>
            <w:r w:rsidRPr="00491625">
              <w:rPr>
                <w:sz w:val="20"/>
                <w:szCs w:val="20"/>
              </w:rPr>
              <w:t>800.00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9.</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Institucionet Mikrofinanciare (Kredi-dhënie) </w:t>
            </w:r>
          </w:p>
        </w:tc>
        <w:tc>
          <w:tcPr>
            <w:tcW w:w="135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10.</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Këmbimoret </w:t>
            </w:r>
          </w:p>
        </w:tc>
        <w:tc>
          <w:tcPr>
            <w:tcW w:w="135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11.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Agjencitë e transferit të parave</w:t>
            </w:r>
          </w:p>
        </w:tc>
        <w:tc>
          <w:tcPr>
            <w:tcW w:w="1350" w:type="dxa"/>
          </w:tcPr>
          <w:p w:rsidR="00E57B92" w:rsidRPr="00491625" w:rsidRDefault="00E57B92" w:rsidP="0087170A">
            <w:pPr>
              <w:jc w:val="right"/>
              <w:rPr>
                <w:sz w:val="20"/>
                <w:szCs w:val="20"/>
              </w:rPr>
            </w:pPr>
            <w:r w:rsidRPr="00491625">
              <w:rPr>
                <w:sz w:val="20"/>
                <w:szCs w:val="20"/>
              </w:rPr>
              <w:t>150.00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12.</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Marketet prej 100-200m</w:t>
            </w:r>
            <w:r w:rsidRPr="00491625">
              <w:rPr>
                <w:b/>
                <w:sz w:val="20"/>
                <w:szCs w:val="20"/>
                <w:vertAlign w:val="superscript"/>
              </w:rPr>
              <w:t>2</w:t>
            </w:r>
          </w:p>
        </w:tc>
        <w:tc>
          <w:tcPr>
            <w:tcW w:w="1350" w:type="dxa"/>
          </w:tcPr>
          <w:p w:rsidR="00E57B92" w:rsidRPr="00491625" w:rsidRDefault="00E57B92" w:rsidP="0087170A">
            <w:pPr>
              <w:jc w:val="right"/>
              <w:rPr>
                <w:b/>
                <w:sz w:val="20"/>
                <w:szCs w:val="20"/>
              </w:rPr>
            </w:pPr>
            <w:r w:rsidRPr="00491625">
              <w:rPr>
                <w:b/>
                <w:sz w:val="20"/>
                <w:szCs w:val="20"/>
              </w:rPr>
              <w:t>100.00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13.</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Marketet prej 200-300m</w:t>
            </w:r>
            <w:r w:rsidRPr="00491625">
              <w:rPr>
                <w:b/>
                <w:sz w:val="20"/>
                <w:szCs w:val="20"/>
                <w:vertAlign w:val="superscript"/>
              </w:rPr>
              <w:t>2</w:t>
            </w:r>
          </w:p>
        </w:tc>
        <w:tc>
          <w:tcPr>
            <w:tcW w:w="1350" w:type="dxa"/>
          </w:tcPr>
          <w:p w:rsidR="00E57B92" w:rsidRPr="00491625" w:rsidRDefault="00E57B92" w:rsidP="0087170A">
            <w:pPr>
              <w:jc w:val="right"/>
              <w:rPr>
                <w:b/>
                <w:sz w:val="20"/>
                <w:szCs w:val="20"/>
              </w:rPr>
            </w:pPr>
            <w:r w:rsidRPr="00491625">
              <w:rPr>
                <w:b/>
                <w:sz w:val="20"/>
                <w:szCs w:val="20"/>
              </w:rPr>
              <w:t>200.00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14.</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Marketet mbi  300m</w:t>
            </w:r>
            <w:r w:rsidRPr="00491625">
              <w:rPr>
                <w:b/>
                <w:sz w:val="20"/>
                <w:szCs w:val="20"/>
                <w:vertAlign w:val="superscript"/>
              </w:rPr>
              <w:t>2</w:t>
            </w:r>
          </w:p>
        </w:tc>
        <w:tc>
          <w:tcPr>
            <w:tcW w:w="1350" w:type="dxa"/>
          </w:tcPr>
          <w:p w:rsidR="00E57B92" w:rsidRPr="00491625" w:rsidRDefault="00E57B92" w:rsidP="0087170A">
            <w:pPr>
              <w:jc w:val="right"/>
              <w:rPr>
                <w:b/>
                <w:sz w:val="20"/>
                <w:szCs w:val="20"/>
              </w:rPr>
            </w:pPr>
            <w:r w:rsidRPr="00491625">
              <w:rPr>
                <w:b/>
                <w:sz w:val="20"/>
                <w:szCs w:val="20"/>
              </w:rPr>
              <w:t>300.00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15.</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Super marketet </w:t>
            </w:r>
          </w:p>
        </w:tc>
        <w:tc>
          <w:tcPr>
            <w:tcW w:w="1350" w:type="dxa"/>
          </w:tcPr>
          <w:p w:rsidR="00E57B92" w:rsidRPr="00491625" w:rsidRDefault="00E57B92" w:rsidP="0087170A">
            <w:pPr>
              <w:jc w:val="right"/>
              <w:rPr>
                <w:b/>
                <w:sz w:val="20"/>
                <w:szCs w:val="20"/>
              </w:rPr>
            </w:pPr>
            <w:r w:rsidRPr="00491625">
              <w:rPr>
                <w:b/>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16.</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Hipermarketet – mbi 500m</w:t>
            </w:r>
            <w:r w:rsidRPr="00491625">
              <w:rPr>
                <w:b/>
                <w:sz w:val="20"/>
                <w:szCs w:val="20"/>
                <w:vertAlign w:val="superscript"/>
              </w:rPr>
              <w:t>2</w:t>
            </w:r>
          </w:p>
        </w:tc>
        <w:tc>
          <w:tcPr>
            <w:tcW w:w="1350" w:type="dxa"/>
          </w:tcPr>
          <w:p w:rsidR="00E57B92" w:rsidRPr="00491625" w:rsidRDefault="00E57B92" w:rsidP="0087170A">
            <w:pPr>
              <w:jc w:val="right"/>
              <w:rPr>
                <w:b/>
                <w:sz w:val="20"/>
                <w:szCs w:val="20"/>
              </w:rPr>
            </w:pPr>
            <w:r w:rsidRPr="00491625">
              <w:rPr>
                <w:b/>
                <w:sz w:val="20"/>
                <w:szCs w:val="20"/>
              </w:rPr>
              <w:t>1000.00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17.</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Kompanitë e telefonisë mobile, rrjetit të internetit dhe TV kabllovike (IPKO, Z Mobile, Kujtesa etj.)</w:t>
            </w:r>
          </w:p>
        </w:tc>
        <w:tc>
          <w:tcPr>
            <w:tcW w:w="1350" w:type="dxa"/>
          </w:tcPr>
          <w:p w:rsidR="00E57B92" w:rsidRPr="00491625" w:rsidRDefault="00E57B92" w:rsidP="0087170A">
            <w:pPr>
              <w:jc w:val="right"/>
              <w:rPr>
                <w:sz w:val="20"/>
                <w:szCs w:val="20"/>
              </w:rPr>
            </w:pPr>
          </w:p>
          <w:p w:rsidR="00E57B92" w:rsidRPr="00491625" w:rsidRDefault="00E57B92" w:rsidP="0087170A">
            <w:pPr>
              <w:jc w:val="right"/>
              <w:rPr>
                <w:sz w:val="20"/>
                <w:szCs w:val="20"/>
              </w:rPr>
            </w:pPr>
            <w:r w:rsidRPr="00491625">
              <w:rPr>
                <w:sz w:val="20"/>
                <w:szCs w:val="20"/>
              </w:rPr>
              <w:t>1000.00</w:t>
            </w:r>
          </w:p>
        </w:tc>
      </w:tr>
      <w:tr w:rsidR="00E57B92" w:rsidRPr="00491625" w:rsidTr="0087170A">
        <w:trPr>
          <w:trHeight w:val="215"/>
        </w:trPr>
        <w:tc>
          <w:tcPr>
            <w:tcW w:w="657" w:type="dxa"/>
          </w:tcPr>
          <w:p w:rsidR="00E57B92" w:rsidRPr="00491625" w:rsidRDefault="00E57B92" w:rsidP="0087170A">
            <w:pPr>
              <w:shd w:val="clear" w:color="auto" w:fill="FFFFFF"/>
              <w:jc w:val="center"/>
              <w:rPr>
                <w:sz w:val="20"/>
                <w:szCs w:val="20"/>
              </w:rPr>
            </w:pPr>
            <w:r w:rsidRPr="00491625">
              <w:rPr>
                <w:sz w:val="20"/>
                <w:szCs w:val="20"/>
              </w:rPr>
              <w:t>18.</w:t>
            </w:r>
          </w:p>
        </w:tc>
        <w:tc>
          <w:tcPr>
            <w:tcW w:w="7263" w:type="dxa"/>
          </w:tcPr>
          <w:p w:rsidR="00E57B92" w:rsidRPr="00491625" w:rsidRDefault="00E57B92" w:rsidP="0087170A">
            <w:pPr>
              <w:shd w:val="clear" w:color="auto" w:fill="FFFFFF"/>
              <w:rPr>
                <w:sz w:val="20"/>
                <w:szCs w:val="20"/>
              </w:rPr>
            </w:pPr>
            <w:r w:rsidRPr="00491625">
              <w:rPr>
                <w:sz w:val="20"/>
                <w:szCs w:val="20"/>
              </w:rPr>
              <w:t>Bingot, bastoret, lotaritë dhe lojërat tjera të fatit</w:t>
            </w:r>
          </w:p>
        </w:tc>
        <w:tc>
          <w:tcPr>
            <w:tcW w:w="1350" w:type="dxa"/>
          </w:tcPr>
          <w:p w:rsidR="00E57B92" w:rsidRPr="00491625" w:rsidRDefault="00E57B92" w:rsidP="0087170A">
            <w:pPr>
              <w:jc w:val="right"/>
              <w:rPr>
                <w:sz w:val="20"/>
                <w:szCs w:val="20"/>
              </w:rPr>
            </w:pPr>
            <w:r w:rsidRPr="00491625">
              <w:rPr>
                <w:sz w:val="20"/>
                <w:szCs w:val="20"/>
              </w:rPr>
              <w:t>1000.00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19.</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Kazino</w:t>
            </w:r>
          </w:p>
        </w:tc>
        <w:tc>
          <w:tcPr>
            <w:tcW w:w="1350" w:type="dxa"/>
          </w:tcPr>
          <w:p w:rsidR="00E57B92" w:rsidRPr="00491625" w:rsidRDefault="00E57B92" w:rsidP="0087170A">
            <w:pPr>
              <w:jc w:val="right"/>
              <w:rPr>
                <w:sz w:val="20"/>
                <w:szCs w:val="20"/>
              </w:rPr>
            </w:pPr>
            <w:r w:rsidRPr="00491625">
              <w:rPr>
                <w:sz w:val="20"/>
                <w:szCs w:val="20"/>
              </w:rPr>
              <w:t>3000.00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20.</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Restorantet-200-300 m</w:t>
            </w:r>
            <w:r w:rsidRPr="00491625">
              <w:rPr>
                <w:b/>
                <w:sz w:val="20"/>
                <w:szCs w:val="20"/>
                <w:vertAlign w:val="superscript"/>
              </w:rPr>
              <w:t>2</w:t>
            </w:r>
          </w:p>
        </w:tc>
        <w:tc>
          <w:tcPr>
            <w:tcW w:w="1350" w:type="dxa"/>
          </w:tcPr>
          <w:p w:rsidR="00E57B92" w:rsidRPr="00491625" w:rsidRDefault="00E57B92" w:rsidP="0087170A">
            <w:pPr>
              <w:jc w:val="right"/>
              <w:rPr>
                <w:b/>
                <w:sz w:val="20"/>
                <w:szCs w:val="20"/>
              </w:rPr>
            </w:pPr>
            <w:r w:rsidRPr="00491625">
              <w:rPr>
                <w:b/>
                <w:sz w:val="20"/>
                <w:szCs w:val="20"/>
              </w:rPr>
              <w:t>300.00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21.</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Restorantet-mbi 300 m</w:t>
            </w:r>
            <w:r w:rsidRPr="00491625">
              <w:rPr>
                <w:b/>
                <w:sz w:val="20"/>
                <w:szCs w:val="20"/>
                <w:vertAlign w:val="superscript"/>
              </w:rPr>
              <w:t>2</w:t>
            </w:r>
          </w:p>
        </w:tc>
        <w:tc>
          <w:tcPr>
            <w:tcW w:w="1350" w:type="dxa"/>
          </w:tcPr>
          <w:p w:rsidR="00E57B92" w:rsidRPr="00491625" w:rsidRDefault="00E57B92" w:rsidP="0087170A">
            <w:pPr>
              <w:jc w:val="right"/>
              <w:rPr>
                <w:b/>
                <w:sz w:val="20"/>
                <w:szCs w:val="20"/>
              </w:rPr>
            </w:pPr>
            <w:r w:rsidRPr="00491625">
              <w:rPr>
                <w:b/>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22.</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Hotelet </w:t>
            </w:r>
          </w:p>
        </w:tc>
        <w:tc>
          <w:tcPr>
            <w:tcW w:w="1350" w:type="dxa"/>
          </w:tcPr>
          <w:p w:rsidR="00E57B92" w:rsidRPr="00491625" w:rsidRDefault="00E57B92" w:rsidP="0087170A">
            <w:pPr>
              <w:jc w:val="right"/>
              <w:rPr>
                <w:b/>
                <w:sz w:val="20"/>
                <w:szCs w:val="20"/>
              </w:rPr>
            </w:pPr>
            <w:r w:rsidRPr="00491625">
              <w:rPr>
                <w:b/>
                <w:sz w:val="20"/>
                <w:szCs w:val="20"/>
              </w:rPr>
              <w:t>500.00</w:t>
            </w:r>
          </w:p>
        </w:tc>
      </w:tr>
      <w:tr w:rsidR="00E57B92" w:rsidRPr="00491625" w:rsidTr="0087170A">
        <w:trPr>
          <w:trHeight w:val="242"/>
        </w:trPr>
        <w:tc>
          <w:tcPr>
            <w:tcW w:w="657" w:type="dxa"/>
            <w:vAlign w:val="bottom"/>
          </w:tcPr>
          <w:p w:rsidR="00E57B92" w:rsidRPr="00491625" w:rsidRDefault="00E57B92" w:rsidP="0087170A">
            <w:pPr>
              <w:shd w:val="clear" w:color="auto" w:fill="FFFFFF"/>
              <w:jc w:val="center"/>
              <w:rPr>
                <w:b/>
                <w:sz w:val="20"/>
                <w:szCs w:val="20"/>
              </w:rPr>
            </w:pPr>
            <w:r w:rsidRPr="00491625">
              <w:rPr>
                <w:b/>
                <w:sz w:val="20"/>
                <w:szCs w:val="20"/>
              </w:rPr>
              <w:t>23.</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Motelet </w:t>
            </w:r>
          </w:p>
        </w:tc>
        <w:tc>
          <w:tcPr>
            <w:tcW w:w="1350" w:type="dxa"/>
          </w:tcPr>
          <w:p w:rsidR="00E57B92" w:rsidRPr="00491625" w:rsidRDefault="00E57B92" w:rsidP="0087170A">
            <w:pPr>
              <w:jc w:val="right"/>
              <w:rPr>
                <w:b/>
                <w:sz w:val="20"/>
                <w:szCs w:val="20"/>
              </w:rPr>
            </w:pPr>
            <w:r w:rsidRPr="00491625">
              <w:rPr>
                <w:b/>
                <w:sz w:val="20"/>
                <w:szCs w:val="20"/>
              </w:rPr>
              <w:t>400.00</w:t>
            </w:r>
          </w:p>
        </w:tc>
      </w:tr>
      <w:tr w:rsidR="00E57B92" w:rsidRPr="00491625" w:rsidTr="0087170A">
        <w:trPr>
          <w:trHeight w:val="278"/>
        </w:trPr>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24.</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Kompanitë e sigurimit fizik të objekteve </w:t>
            </w:r>
          </w:p>
        </w:tc>
        <w:tc>
          <w:tcPr>
            <w:tcW w:w="135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25.</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Pompat e benzinës – baza (në rrugë regjionale) </w:t>
            </w:r>
          </w:p>
        </w:tc>
        <w:tc>
          <w:tcPr>
            <w:tcW w:w="135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26.</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Pompat e benzinës në fshatra </w:t>
            </w:r>
          </w:p>
        </w:tc>
        <w:tc>
          <w:tcPr>
            <w:tcW w:w="135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27.</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Diskotekat </w:t>
            </w:r>
          </w:p>
        </w:tc>
        <w:tc>
          <w:tcPr>
            <w:tcW w:w="135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28.</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Diskobaret </w:t>
            </w:r>
          </w:p>
        </w:tc>
        <w:tc>
          <w:tcPr>
            <w:tcW w:w="135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29.</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Klubet e natës </w:t>
            </w:r>
          </w:p>
        </w:tc>
        <w:tc>
          <w:tcPr>
            <w:tcW w:w="135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30.</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Klinikat mjekësore </w:t>
            </w:r>
          </w:p>
        </w:tc>
        <w:tc>
          <w:tcPr>
            <w:tcW w:w="135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Ambulancat, laboratorët, rendgenët, stomatologët </w:t>
            </w:r>
          </w:p>
        </w:tc>
        <w:tc>
          <w:tcPr>
            <w:tcW w:w="135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32.</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Autoshkollat </w:t>
            </w:r>
          </w:p>
        </w:tc>
        <w:tc>
          <w:tcPr>
            <w:tcW w:w="135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33.</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Noterët </w:t>
            </w:r>
          </w:p>
        </w:tc>
        <w:tc>
          <w:tcPr>
            <w:tcW w:w="135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34.</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Avokatët </w:t>
            </w:r>
          </w:p>
        </w:tc>
        <w:tc>
          <w:tcPr>
            <w:tcW w:w="1350" w:type="dxa"/>
          </w:tcPr>
          <w:p w:rsidR="00E57B92" w:rsidRPr="00491625" w:rsidRDefault="00E57B92" w:rsidP="0087170A">
            <w:pPr>
              <w:jc w:val="right"/>
              <w:rPr>
                <w:sz w:val="20"/>
                <w:szCs w:val="20"/>
              </w:rPr>
            </w:pPr>
            <w:r w:rsidRPr="00491625">
              <w:rPr>
                <w:sz w:val="20"/>
                <w:szCs w:val="20"/>
              </w:rPr>
              <w:t>200.00</w:t>
            </w:r>
          </w:p>
        </w:tc>
      </w:tr>
      <w:tr w:rsidR="00E57B92" w:rsidRPr="00491625" w:rsidTr="0087170A">
        <w:trPr>
          <w:trHeight w:val="215"/>
        </w:trPr>
        <w:tc>
          <w:tcPr>
            <w:tcW w:w="657" w:type="dxa"/>
            <w:vAlign w:val="bottom"/>
          </w:tcPr>
          <w:p w:rsidR="00E57B92" w:rsidRPr="00491625" w:rsidRDefault="00E57B92" w:rsidP="0087170A">
            <w:pPr>
              <w:shd w:val="clear" w:color="auto" w:fill="FFFFFF"/>
              <w:jc w:val="center"/>
              <w:rPr>
                <w:sz w:val="20"/>
                <w:szCs w:val="20"/>
              </w:rPr>
            </w:pPr>
            <w:r w:rsidRPr="00491625">
              <w:rPr>
                <w:sz w:val="20"/>
                <w:szCs w:val="20"/>
              </w:rPr>
              <w:t>35.</w:t>
            </w:r>
          </w:p>
        </w:tc>
        <w:tc>
          <w:tcPr>
            <w:tcW w:w="7263" w:type="dxa"/>
            <w:vAlign w:val="bottom"/>
          </w:tcPr>
          <w:p w:rsidR="00E57B92" w:rsidRPr="00491625" w:rsidRDefault="00E57B92" w:rsidP="0087170A">
            <w:pPr>
              <w:shd w:val="clear" w:color="auto" w:fill="FFFFFF"/>
              <w:rPr>
                <w:sz w:val="20"/>
                <w:szCs w:val="20"/>
              </w:rPr>
            </w:pPr>
            <w:r w:rsidRPr="00491625">
              <w:rPr>
                <w:sz w:val="20"/>
                <w:szCs w:val="20"/>
              </w:rPr>
              <w:t>Përmbaruesit privatë</w:t>
            </w:r>
          </w:p>
        </w:tc>
        <w:tc>
          <w:tcPr>
            <w:tcW w:w="1350" w:type="dxa"/>
          </w:tcPr>
          <w:p w:rsidR="00E57B92" w:rsidRPr="00491625" w:rsidRDefault="00E57B92" w:rsidP="0087170A">
            <w:pPr>
              <w:jc w:val="right"/>
              <w:rPr>
                <w:sz w:val="20"/>
                <w:szCs w:val="20"/>
              </w:rPr>
            </w:pPr>
            <w:r w:rsidRPr="00491625">
              <w:rPr>
                <w:sz w:val="20"/>
                <w:szCs w:val="20"/>
              </w:rPr>
              <w:t>150.00</w:t>
            </w:r>
          </w:p>
        </w:tc>
      </w:tr>
    </w:tbl>
    <w:p w:rsidR="00E57B92" w:rsidRPr="00491625" w:rsidRDefault="00E57B92" w:rsidP="00491625">
      <w:pPr>
        <w:jc w:val="both"/>
      </w:pPr>
    </w:p>
    <w:p w:rsidR="00E57B92" w:rsidRPr="00491625" w:rsidRDefault="00E57B92" w:rsidP="00491625">
      <w:pPr>
        <w:jc w:val="both"/>
        <w:rPr>
          <w:b/>
        </w:rPr>
      </w:pPr>
    </w:p>
    <w:p w:rsidR="00E57B92" w:rsidRPr="00491625" w:rsidRDefault="00E57B92" w:rsidP="00491625">
      <w:pPr>
        <w:jc w:val="both"/>
        <w:rPr>
          <w:b/>
        </w:rPr>
      </w:pPr>
      <w:r w:rsidRPr="00491625">
        <w:rPr>
          <w:b/>
        </w:rPr>
        <w:t>Duke pasur parasysh arsyetimin  që u paraqit lidhur me harmonizimin e rregullores në fjalë po paraqesim edhe riformulimin e ri i cili do të ketë këtë përmbajtje si në vijim:</w:t>
      </w: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r w:rsidRPr="00491625">
        <w:rPr>
          <w:b/>
        </w:rPr>
        <w:t xml:space="preserve">Te neni 3 paragrafi 1 i rregullores mbi plotësimin dhe ndryshimin e rregullores fjala “Kompani” zëvendësohet me fjalën “ndërmarrje’ dhe të gjitha emërtimet e përdorura në tekstin e taksave fshihen. </w:t>
      </w: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pStyle w:val="ListParagraph"/>
        <w:numPr>
          <w:ilvl w:val="0"/>
          <w:numId w:val="10"/>
        </w:numPr>
        <w:contextualSpacing/>
        <w:jc w:val="both"/>
        <w:rPr>
          <w:b/>
        </w:rPr>
      </w:pPr>
      <w:r w:rsidRPr="00491625">
        <w:rPr>
          <w:b/>
        </w:rPr>
        <w:t>Tarifa nr. 12 fshihet</w:t>
      </w:r>
    </w:p>
    <w:p w:rsidR="00E57B92" w:rsidRPr="00491625" w:rsidRDefault="00E57B92" w:rsidP="00491625">
      <w:pPr>
        <w:pStyle w:val="ListParagraph"/>
        <w:numPr>
          <w:ilvl w:val="0"/>
          <w:numId w:val="10"/>
        </w:numPr>
        <w:contextualSpacing/>
        <w:jc w:val="both"/>
        <w:rPr>
          <w:b/>
        </w:rPr>
      </w:pPr>
      <w:r w:rsidRPr="00491625">
        <w:rPr>
          <w:b/>
        </w:rPr>
        <w:t>Tarifa 13 fshihet fjala “prej  200-300m</w:t>
      </w:r>
      <w:r w:rsidRPr="00491625">
        <w:rPr>
          <w:b/>
          <w:vertAlign w:val="superscript"/>
        </w:rPr>
        <w:t>2</w:t>
      </w:r>
    </w:p>
    <w:p w:rsidR="00E57B92" w:rsidRPr="00491625" w:rsidRDefault="00E57B92" w:rsidP="00491625">
      <w:pPr>
        <w:pStyle w:val="ListParagraph"/>
        <w:numPr>
          <w:ilvl w:val="0"/>
          <w:numId w:val="10"/>
        </w:numPr>
        <w:contextualSpacing/>
        <w:jc w:val="both"/>
        <w:rPr>
          <w:b/>
        </w:rPr>
      </w:pPr>
      <w:r w:rsidRPr="00491625">
        <w:rPr>
          <w:b/>
        </w:rPr>
        <w:t>Tarifa nr. 14 fshihet</w:t>
      </w:r>
    </w:p>
    <w:p w:rsidR="00E57B92" w:rsidRPr="00491625" w:rsidRDefault="00E57B92" w:rsidP="00491625">
      <w:pPr>
        <w:pStyle w:val="ListParagraph"/>
        <w:numPr>
          <w:ilvl w:val="0"/>
          <w:numId w:val="10"/>
        </w:numPr>
        <w:contextualSpacing/>
        <w:jc w:val="both"/>
        <w:rPr>
          <w:b/>
        </w:rPr>
      </w:pPr>
      <w:r w:rsidRPr="00491625">
        <w:rPr>
          <w:b/>
        </w:rPr>
        <w:t>Tarifa nr. 15  vlera e tarifës  “500” zëvendësohet me “400”</w:t>
      </w:r>
    </w:p>
    <w:p w:rsidR="00E57B92" w:rsidRPr="00491625" w:rsidRDefault="00E57B92" w:rsidP="00491625">
      <w:pPr>
        <w:pStyle w:val="ListParagraph"/>
        <w:numPr>
          <w:ilvl w:val="0"/>
          <w:numId w:val="10"/>
        </w:numPr>
        <w:contextualSpacing/>
        <w:jc w:val="both"/>
        <w:rPr>
          <w:b/>
        </w:rPr>
      </w:pPr>
      <w:r w:rsidRPr="00491625">
        <w:rPr>
          <w:b/>
        </w:rPr>
        <w:t>Tarifa nr. 16 fjala “mbi 500m</w:t>
      </w:r>
      <w:r w:rsidRPr="00491625">
        <w:rPr>
          <w:b/>
          <w:vertAlign w:val="superscript"/>
        </w:rPr>
        <w:t>2</w:t>
      </w:r>
      <w:r w:rsidRPr="00491625">
        <w:rPr>
          <w:b/>
        </w:rPr>
        <w:t>” fshihet dhe vlera e tarifës “1000” zëvendësohet me “800”</w:t>
      </w:r>
    </w:p>
    <w:p w:rsidR="00E57B92" w:rsidRPr="00491625" w:rsidRDefault="00E57B92" w:rsidP="00491625">
      <w:pPr>
        <w:pStyle w:val="ListParagraph"/>
        <w:numPr>
          <w:ilvl w:val="0"/>
          <w:numId w:val="10"/>
        </w:numPr>
        <w:contextualSpacing/>
        <w:jc w:val="both"/>
        <w:rPr>
          <w:b/>
        </w:rPr>
      </w:pPr>
      <w:r w:rsidRPr="00491625">
        <w:rPr>
          <w:b/>
        </w:rPr>
        <w:t>Tarifa nr. 20 fjala 200-300m</w:t>
      </w:r>
      <w:r w:rsidRPr="00491625">
        <w:rPr>
          <w:b/>
          <w:vertAlign w:val="superscript"/>
        </w:rPr>
        <w:t>2</w:t>
      </w:r>
      <w:r w:rsidRPr="00491625">
        <w:rPr>
          <w:b/>
        </w:rPr>
        <w:t xml:space="preserve"> fshihet dhe vlera e tarifës “300” zëvendësohet me “200”</w:t>
      </w:r>
    </w:p>
    <w:p w:rsidR="00E57B92" w:rsidRPr="00491625" w:rsidRDefault="00E57B92" w:rsidP="00491625">
      <w:pPr>
        <w:pStyle w:val="ListParagraph"/>
        <w:numPr>
          <w:ilvl w:val="0"/>
          <w:numId w:val="10"/>
        </w:numPr>
        <w:contextualSpacing/>
        <w:jc w:val="both"/>
        <w:rPr>
          <w:b/>
        </w:rPr>
      </w:pPr>
      <w:r w:rsidRPr="00491625">
        <w:rPr>
          <w:b/>
        </w:rPr>
        <w:t xml:space="preserve">Tarifa nr. 21 fshihet. </w:t>
      </w:r>
    </w:p>
    <w:p w:rsidR="00E57B92" w:rsidRPr="00491625" w:rsidRDefault="00E57B92" w:rsidP="00491625">
      <w:pPr>
        <w:pStyle w:val="ListParagraph"/>
        <w:numPr>
          <w:ilvl w:val="0"/>
          <w:numId w:val="10"/>
        </w:numPr>
        <w:contextualSpacing/>
        <w:jc w:val="both"/>
        <w:rPr>
          <w:b/>
        </w:rPr>
      </w:pPr>
      <w:r w:rsidRPr="00491625">
        <w:rPr>
          <w:b/>
        </w:rPr>
        <w:t>Tarifa nr. 22, vlera e tarifës “500” zëvendësohet me “400”</w:t>
      </w:r>
    </w:p>
    <w:p w:rsidR="00E57B92" w:rsidRPr="00491625" w:rsidRDefault="00E57B92" w:rsidP="00491625">
      <w:pPr>
        <w:pStyle w:val="ListParagraph"/>
        <w:numPr>
          <w:ilvl w:val="0"/>
          <w:numId w:val="10"/>
        </w:numPr>
        <w:contextualSpacing/>
        <w:jc w:val="both"/>
        <w:rPr>
          <w:b/>
        </w:rPr>
      </w:pPr>
      <w:r w:rsidRPr="00491625">
        <w:rPr>
          <w:b/>
        </w:rPr>
        <w:t>Tarifa nr. 23, vlera e tarifës “400” zëvendësohet me “300”.</w:t>
      </w:r>
    </w:p>
    <w:p w:rsidR="00E57B92" w:rsidRPr="00491625" w:rsidRDefault="00E57B92" w:rsidP="00491625">
      <w:pPr>
        <w:pStyle w:val="ListParagraph"/>
        <w:ind w:left="360"/>
        <w:jc w:val="both"/>
        <w:rPr>
          <w:b/>
        </w:rPr>
      </w:pPr>
    </w:p>
    <w:p w:rsidR="00E57B92" w:rsidRPr="00491625" w:rsidRDefault="00E57B92" w:rsidP="00491625">
      <w:pPr>
        <w:pStyle w:val="ListParagraph"/>
        <w:ind w:left="360"/>
        <w:jc w:val="both"/>
        <w:rPr>
          <w:b/>
        </w:rPr>
      </w:pPr>
    </w:p>
    <w:p w:rsidR="00E57B92" w:rsidRPr="00491625" w:rsidRDefault="00E57B92" w:rsidP="00491625">
      <w:pPr>
        <w:jc w:val="both"/>
        <w:rPr>
          <w:b/>
        </w:rPr>
      </w:pPr>
      <w:r>
        <w:rPr>
          <w:b/>
        </w:rPr>
        <w:t xml:space="preserve">Taksat </w:t>
      </w:r>
      <w:r w:rsidRPr="00491625">
        <w:rPr>
          <w:b/>
        </w:rPr>
        <w:t>pas harmonizimit:</w:t>
      </w:r>
    </w:p>
    <w:p w:rsidR="00E57B92" w:rsidRPr="00491625" w:rsidRDefault="00E57B92" w:rsidP="00491625">
      <w:pPr>
        <w:jc w:val="both"/>
        <w:rPr>
          <w:b/>
        </w:rPr>
      </w:pPr>
    </w:p>
    <w:p w:rsidR="00E57B92" w:rsidRPr="00491625" w:rsidRDefault="00E57B92" w:rsidP="00491625">
      <w:pPr>
        <w:jc w:val="both"/>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7263"/>
        <w:gridCol w:w="1260"/>
      </w:tblGrid>
      <w:tr w:rsidR="00E57B92" w:rsidRPr="00491625" w:rsidTr="0087170A">
        <w:tc>
          <w:tcPr>
            <w:tcW w:w="657" w:type="dxa"/>
          </w:tcPr>
          <w:p w:rsidR="00E57B92" w:rsidRPr="00491625" w:rsidRDefault="00E57B92" w:rsidP="0087170A">
            <w:pPr>
              <w:rPr>
                <w:sz w:val="20"/>
                <w:szCs w:val="20"/>
              </w:rPr>
            </w:pPr>
            <w:r w:rsidRPr="00491625">
              <w:rPr>
                <w:sz w:val="20"/>
                <w:szCs w:val="20"/>
              </w:rPr>
              <w:t>N/r</w:t>
            </w:r>
          </w:p>
        </w:tc>
        <w:tc>
          <w:tcPr>
            <w:tcW w:w="7263" w:type="dxa"/>
          </w:tcPr>
          <w:p w:rsidR="00E57B92" w:rsidRPr="00491625" w:rsidRDefault="00E57B92" w:rsidP="0087170A">
            <w:pPr>
              <w:rPr>
                <w:sz w:val="20"/>
                <w:szCs w:val="20"/>
              </w:rPr>
            </w:pPr>
            <w:r w:rsidRPr="00491625">
              <w:rPr>
                <w:bCs/>
                <w:sz w:val="20"/>
                <w:szCs w:val="20"/>
              </w:rPr>
              <w:t>V e p r i m t a r i t ë/a f a r i s t e</w:t>
            </w:r>
          </w:p>
        </w:tc>
        <w:tc>
          <w:tcPr>
            <w:tcW w:w="1260" w:type="dxa"/>
          </w:tcPr>
          <w:p w:rsidR="00E57B92" w:rsidRPr="00491625" w:rsidRDefault="00E57B92" w:rsidP="0087170A">
            <w:pPr>
              <w:jc w:val="center"/>
              <w:rPr>
                <w:sz w:val="20"/>
                <w:szCs w:val="20"/>
              </w:rPr>
            </w:pPr>
            <w:r w:rsidRPr="00491625">
              <w:rPr>
                <w:sz w:val="20"/>
                <w:szCs w:val="20"/>
              </w:rPr>
              <w:t>Taksa &amp; tarifa  €</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Ndërmarrjet publike regjionale për ofrim të shërbimeve për mbeturina dhe ujë  </w:t>
            </w:r>
          </w:p>
        </w:tc>
        <w:tc>
          <w:tcPr>
            <w:tcW w:w="1260" w:type="dxa"/>
          </w:tcPr>
          <w:p w:rsidR="00E57B92" w:rsidRPr="00491625" w:rsidRDefault="00E57B92" w:rsidP="0087170A">
            <w:pPr>
              <w:jc w:val="right"/>
              <w:rPr>
                <w:sz w:val="20"/>
                <w:szCs w:val="20"/>
              </w:rPr>
            </w:pPr>
            <w:r w:rsidRPr="00491625">
              <w:rPr>
                <w:sz w:val="20"/>
                <w:szCs w:val="20"/>
              </w:rPr>
              <w:t>600.00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2.</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Stacionet publike lokale për ofrim të shërbimeve për transportin e udhëtarëve </w:t>
            </w:r>
          </w:p>
        </w:tc>
        <w:tc>
          <w:tcPr>
            <w:tcW w:w="126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3.</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Ndërmarrjet  publike qendrore për telekomunikacion </w:t>
            </w:r>
          </w:p>
        </w:tc>
        <w:tc>
          <w:tcPr>
            <w:tcW w:w="1260" w:type="dxa"/>
          </w:tcPr>
          <w:p w:rsidR="00E57B92" w:rsidRPr="00491625" w:rsidRDefault="00E57B92" w:rsidP="0087170A">
            <w:pPr>
              <w:jc w:val="right"/>
              <w:rPr>
                <w:sz w:val="20"/>
                <w:szCs w:val="20"/>
              </w:rPr>
            </w:pPr>
            <w:r w:rsidRPr="00491625">
              <w:rPr>
                <w:sz w:val="20"/>
                <w:szCs w:val="20"/>
              </w:rPr>
              <w:t>1500.00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4.</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Ndërmarrjet  publike qendrore për shërbime postare </w:t>
            </w:r>
          </w:p>
        </w:tc>
        <w:tc>
          <w:tcPr>
            <w:tcW w:w="1260" w:type="dxa"/>
          </w:tcPr>
          <w:p w:rsidR="00E57B92" w:rsidRPr="00491625" w:rsidRDefault="00E57B92" w:rsidP="0087170A">
            <w:pPr>
              <w:jc w:val="right"/>
              <w:rPr>
                <w:sz w:val="20"/>
                <w:szCs w:val="20"/>
              </w:rPr>
            </w:pPr>
            <w:r w:rsidRPr="00491625">
              <w:rPr>
                <w:sz w:val="20"/>
                <w:szCs w:val="20"/>
              </w:rPr>
              <w:t>750.00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5.</w:t>
            </w:r>
          </w:p>
        </w:tc>
        <w:tc>
          <w:tcPr>
            <w:tcW w:w="7263" w:type="dxa"/>
            <w:vAlign w:val="bottom"/>
          </w:tcPr>
          <w:p w:rsidR="00E57B92" w:rsidRPr="00491625" w:rsidRDefault="00E57B92" w:rsidP="0087170A">
            <w:pPr>
              <w:shd w:val="clear" w:color="auto" w:fill="FFFFFF"/>
              <w:rPr>
                <w:sz w:val="20"/>
                <w:szCs w:val="20"/>
              </w:rPr>
            </w:pPr>
            <w:r w:rsidRPr="00491625">
              <w:rPr>
                <w:sz w:val="20"/>
                <w:szCs w:val="20"/>
              </w:rPr>
              <w:t>Ndërmarrjet  për furnizim me energji elektrike</w:t>
            </w:r>
          </w:p>
        </w:tc>
        <w:tc>
          <w:tcPr>
            <w:tcW w:w="1260" w:type="dxa"/>
          </w:tcPr>
          <w:p w:rsidR="00E57B92" w:rsidRPr="00491625" w:rsidRDefault="00E57B92" w:rsidP="0087170A">
            <w:pPr>
              <w:jc w:val="right"/>
              <w:rPr>
                <w:sz w:val="20"/>
                <w:szCs w:val="20"/>
              </w:rPr>
            </w:pPr>
            <w:r w:rsidRPr="00491625">
              <w:rPr>
                <w:sz w:val="20"/>
                <w:szCs w:val="20"/>
              </w:rPr>
              <w:t>1500.00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6.</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Ndërmarrjet e sigurimeve-baza </w:t>
            </w:r>
          </w:p>
        </w:tc>
        <w:tc>
          <w:tcPr>
            <w:tcW w:w="1260" w:type="dxa"/>
          </w:tcPr>
          <w:p w:rsidR="00E57B92" w:rsidRPr="00491625" w:rsidRDefault="00E57B92" w:rsidP="0087170A">
            <w:pPr>
              <w:jc w:val="right"/>
              <w:rPr>
                <w:sz w:val="20"/>
                <w:szCs w:val="20"/>
              </w:rPr>
            </w:pPr>
            <w:r w:rsidRPr="00491625">
              <w:rPr>
                <w:sz w:val="20"/>
                <w:szCs w:val="20"/>
              </w:rPr>
              <w:t>800.00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7.</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Kontrollimet teknike</w:t>
            </w:r>
          </w:p>
        </w:tc>
        <w:tc>
          <w:tcPr>
            <w:tcW w:w="126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8.</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Bankat ekspoziturat-filialet                                                  </w:t>
            </w:r>
          </w:p>
        </w:tc>
        <w:tc>
          <w:tcPr>
            <w:tcW w:w="1260" w:type="dxa"/>
          </w:tcPr>
          <w:p w:rsidR="00E57B92" w:rsidRPr="00491625" w:rsidRDefault="00E57B92" w:rsidP="0087170A">
            <w:pPr>
              <w:jc w:val="right"/>
              <w:rPr>
                <w:sz w:val="20"/>
                <w:szCs w:val="20"/>
              </w:rPr>
            </w:pPr>
            <w:r w:rsidRPr="00491625">
              <w:rPr>
                <w:sz w:val="20"/>
                <w:szCs w:val="20"/>
              </w:rPr>
              <w:t>800.00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9.</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Institucionet Mikrofinanciare (Kredi-dhënie) </w:t>
            </w:r>
          </w:p>
        </w:tc>
        <w:tc>
          <w:tcPr>
            <w:tcW w:w="126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10.</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Këmbimoret </w:t>
            </w:r>
          </w:p>
        </w:tc>
        <w:tc>
          <w:tcPr>
            <w:tcW w:w="126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11.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Agjencitë për  transferim të parave</w:t>
            </w:r>
          </w:p>
        </w:tc>
        <w:tc>
          <w:tcPr>
            <w:tcW w:w="1260" w:type="dxa"/>
          </w:tcPr>
          <w:p w:rsidR="00E57B92" w:rsidRPr="00491625" w:rsidRDefault="00E57B92" w:rsidP="0087170A">
            <w:pPr>
              <w:jc w:val="right"/>
              <w:rPr>
                <w:sz w:val="20"/>
                <w:szCs w:val="20"/>
              </w:rPr>
            </w:pPr>
            <w:r w:rsidRPr="00491625">
              <w:rPr>
                <w:sz w:val="20"/>
                <w:szCs w:val="20"/>
              </w:rPr>
              <w:t>150.00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12.</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 xml:space="preserve">Marketet </w:t>
            </w:r>
          </w:p>
        </w:tc>
        <w:tc>
          <w:tcPr>
            <w:tcW w:w="1260" w:type="dxa"/>
          </w:tcPr>
          <w:p w:rsidR="00E57B92" w:rsidRPr="00491625" w:rsidRDefault="00E57B92" w:rsidP="0087170A">
            <w:pPr>
              <w:jc w:val="right"/>
              <w:rPr>
                <w:b/>
                <w:sz w:val="20"/>
                <w:szCs w:val="20"/>
              </w:rPr>
            </w:pPr>
            <w:r w:rsidRPr="00491625">
              <w:rPr>
                <w:b/>
                <w:sz w:val="20"/>
                <w:szCs w:val="20"/>
              </w:rPr>
              <w:t>200.00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13.</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Supermarketet </w:t>
            </w:r>
          </w:p>
        </w:tc>
        <w:tc>
          <w:tcPr>
            <w:tcW w:w="1260" w:type="dxa"/>
          </w:tcPr>
          <w:p w:rsidR="00E57B92" w:rsidRPr="00491625" w:rsidRDefault="00E57B92" w:rsidP="0087170A">
            <w:pPr>
              <w:jc w:val="right"/>
              <w:rPr>
                <w:b/>
                <w:sz w:val="20"/>
                <w:szCs w:val="20"/>
              </w:rPr>
            </w:pPr>
            <w:r w:rsidRPr="00491625">
              <w:rPr>
                <w:b/>
                <w:sz w:val="20"/>
                <w:szCs w:val="20"/>
              </w:rPr>
              <w:t>400.00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14.</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 xml:space="preserve">Hipermarketet </w:t>
            </w:r>
          </w:p>
        </w:tc>
        <w:tc>
          <w:tcPr>
            <w:tcW w:w="1260" w:type="dxa"/>
          </w:tcPr>
          <w:p w:rsidR="00E57B92" w:rsidRPr="00491625" w:rsidRDefault="00E57B92" w:rsidP="0087170A">
            <w:pPr>
              <w:jc w:val="right"/>
              <w:rPr>
                <w:b/>
                <w:sz w:val="20"/>
                <w:szCs w:val="20"/>
              </w:rPr>
            </w:pPr>
            <w:r w:rsidRPr="00491625">
              <w:rPr>
                <w:b/>
                <w:sz w:val="20"/>
                <w:szCs w:val="20"/>
              </w:rPr>
              <w:t>800.00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15.</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Ndërmarrjet e telefonisë mobile, rrjetit të internetit dhe TV kabllovike </w:t>
            </w:r>
          </w:p>
        </w:tc>
        <w:tc>
          <w:tcPr>
            <w:tcW w:w="1260" w:type="dxa"/>
          </w:tcPr>
          <w:p w:rsidR="00E57B92" w:rsidRPr="00491625" w:rsidRDefault="00E57B92" w:rsidP="0087170A">
            <w:pPr>
              <w:jc w:val="right"/>
              <w:rPr>
                <w:sz w:val="20"/>
                <w:szCs w:val="20"/>
              </w:rPr>
            </w:pPr>
            <w:r w:rsidRPr="00491625">
              <w:rPr>
                <w:sz w:val="20"/>
                <w:szCs w:val="20"/>
              </w:rPr>
              <w:t xml:space="preserve">       1000.00</w:t>
            </w:r>
          </w:p>
        </w:tc>
      </w:tr>
      <w:tr w:rsidR="00E57B92" w:rsidRPr="00491625" w:rsidTr="0087170A">
        <w:trPr>
          <w:trHeight w:val="224"/>
        </w:trPr>
        <w:tc>
          <w:tcPr>
            <w:tcW w:w="657" w:type="dxa"/>
            <w:vAlign w:val="bottom"/>
          </w:tcPr>
          <w:p w:rsidR="00E57B92" w:rsidRPr="00491625" w:rsidRDefault="00E57B92" w:rsidP="0087170A">
            <w:pPr>
              <w:shd w:val="clear" w:color="auto" w:fill="FFFFFF"/>
              <w:rPr>
                <w:sz w:val="20"/>
                <w:szCs w:val="20"/>
              </w:rPr>
            </w:pPr>
            <w:r w:rsidRPr="00491625">
              <w:rPr>
                <w:sz w:val="20"/>
                <w:szCs w:val="20"/>
              </w:rPr>
              <w:t>16.</w:t>
            </w:r>
          </w:p>
        </w:tc>
        <w:tc>
          <w:tcPr>
            <w:tcW w:w="7263" w:type="dxa"/>
            <w:vAlign w:val="bottom"/>
          </w:tcPr>
          <w:p w:rsidR="00E57B92" w:rsidRPr="00491625" w:rsidRDefault="00E57B92" w:rsidP="0087170A">
            <w:pPr>
              <w:shd w:val="clear" w:color="auto" w:fill="FFFFFF"/>
              <w:rPr>
                <w:sz w:val="20"/>
                <w:szCs w:val="20"/>
              </w:rPr>
            </w:pPr>
            <w:r w:rsidRPr="00491625">
              <w:rPr>
                <w:sz w:val="20"/>
                <w:szCs w:val="20"/>
              </w:rPr>
              <w:t>Bingot, bastoret, lotaritë dhe lojërat tjera të fatit</w:t>
            </w:r>
          </w:p>
        </w:tc>
        <w:tc>
          <w:tcPr>
            <w:tcW w:w="1260" w:type="dxa"/>
          </w:tcPr>
          <w:p w:rsidR="00E57B92" w:rsidRPr="00491625" w:rsidRDefault="00E57B92" w:rsidP="0087170A">
            <w:pPr>
              <w:jc w:val="right"/>
              <w:rPr>
                <w:sz w:val="20"/>
                <w:szCs w:val="20"/>
              </w:rPr>
            </w:pPr>
            <w:r w:rsidRPr="00491625">
              <w:rPr>
                <w:sz w:val="20"/>
                <w:szCs w:val="20"/>
              </w:rPr>
              <w:t>1000.00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17.</w:t>
            </w:r>
          </w:p>
        </w:tc>
        <w:tc>
          <w:tcPr>
            <w:tcW w:w="7263" w:type="dxa"/>
            <w:vAlign w:val="bottom"/>
          </w:tcPr>
          <w:p w:rsidR="00E57B92" w:rsidRPr="00491625" w:rsidRDefault="00E57B92" w:rsidP="0087170A">
            <w:pPr>
              <w:shd w:val="clear" w:color="auto" w:fill="FFFFFF"/>
              <w:rPr>
                <w:sz w:val="20"/>
                <w:szCs w:val="20"/>
              </w:rPr>
            </w:pPr>
            <w:r w:rsidRPr="00491625">
              <w:rPr>
                <w:sz w:val="20"/>
                <w:szCs w:val="20"/>
              </w:rPr>
              <w:t>Kazino</w:t>
            </w:r>
          </w:p>
        </w:tc>
        <w:tc>
          <w:tcPr>
            <w:tcW w:w="1260" w:type="dxa"/>
          </w:tcPr>
          <w:p w:rsidR="00E57B92" w:rsidRPr="00491625" w:rsidRDefault="00E57B92" w:rsidP="0087170A">
            <w:pPr>
              <w:jc w:val="right"/>
              <w:rPr>
                <w:sz w:val="20"/>
                <w:szCs w:val="20"/>
              </w:rPr>
            </w:pPr>
            <w:r w:rsidRPr="00491625">
              <w:rPr>
                <w:sz w:val="20"/>
                <w:szCs w:val="20"/>
              </w:rPr>
              <w:t>3000.00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18.</w:t>
            </w:r>
          </w:p>
        </w:tc>
        <w:tc>
          <w:tcPr>
            <w:tcW w:w="7263" w:type="dxa"/>
            <w:vAlign w:val="bottom"/>
          </w:tcPr>
          <w:p w:rsidR="00E57B92" w:rsidRPr="00491625" w:rsidRDefault="00E57B92" w:rsidP="0087170A">
            <w:pPr>
              <w:shd w:val="clear" w:color="auto" w:fill="FFFFFF"/>
              <w:rPr>
                <w:b/>
                <w:sz w:val="20"/>
                <w:szCs w:val="20"/>
                <w:vertAlign w:val="superscript"/>
              </w:rPr>
            </w:pPr>
            <w:r w:rsidRPr="00491625">
              <w:rPr>
                <w:b/>
                <w:sz w:val="20"/>
                <w:szCs w:val="20"/>
              </w:rPr>
              <w:t>Restorantet</w:t>
            </w:r>
          </w:p>
        </w:tc>
        <w:tc>
          <w:tcPr>
            <w:tcW w:w="1260" w:type="dxa"/>
          </w:tcPr>
          <w:p w:rsidR="00E57B92" w:rsidRPr="00491625" w:rsidRDefault="00E57B92" w:rsidP="0087170A">
            <w:pPr>
              <w:jc w:val="right"/>
              <w:rPr>
                <w:b/>
                <w:sz w:val="20"/>
                <w:szCs w:val="20"/>
              </w:rPr>
            </w:pPr>
            <w:r w:rsidRPr="00491625">
              <w:rPr>
                <w:b/>
                <w:sz w:val="20"/>
                <w:szCs w:val="20"/>
              </w:rPr>
              <w:t>200.00</w:t>
            </w:r>
          </w:p>
        </w:tc>
      </w:tr>
      <w:tr w:rsidR="00E57B92" w:rsidRPr="00491625" w:rsidTr="0087170A">
        <w:tc>
          <w:tcPr>
            <w:tcW w:w="657" w:type="dxa"/>
            <w:vAlign w:val="bottom"/>
          </w:tcPr>
          <w:p w:rsidR="00E57B92" w:rsidRPr="00491625" w:rsidRDefault="00E57B92" w:rsidP="0087170A">
            <w:pPr>
              <w:shd w:val="clear" w:color="auto" w:fill="FFFFFF"/>
              <w:rPr>
                <w:b/>
                <w:sz w:val="20"/>
                <w:szCs w:val="20"/>
              </w:rPr>
            </w:pPr>
            <w:r w:rsidRPr="00491625">
              <w:rPr>
                <w:b/>
                <w:sz w:val="20"/>
                <w:szCs w:val="20"/>
              </w:rPr>
              <w:t>19.</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Hotelet </w:t>
            </w:r>
          </w:p>
        </w:tc>
        <w:tc>
          <w:tcPr>
            <w:tcW w:w="1260" w:type="dxa"/>
          </w:tcPr>
          <w:p w:rsidR="00E57B92" w:rsidRPr="00491625" w:rsidRDefault="00E57B92" w:rsidP="0087170A">
            <w:pPr>
              <w:jc w:val="right"/>
              <w:rPr>
                <w:b/>
                <w:sz w:val="20"/>
                <w:szCs w:val="20"/>
              </w:rPr>
            </w:pPr>
            <w:r w:rsidRPr="00491625">
              <w:rPr>
                <w:b/>
                <w:sz w:val="20"/>
                <w:szCs w:val="20"/>
              </w:rPr>
              <w:t>400.00</w:t>
            </w:r>
          </w:p>
        </w:tc>
      </w:tr>
      <w:tr w:rsidR="00E57B92" w:rsidRPr="00491625" w:rsidTr="0087170A">
        <w:trPr>
          <w:trHeight w:val="242"/>
        </w:trPr>
        <w:tc>
          <w:tcPr>
            <w:tcW w:w="657" w:type="dxa"/>
            <w:vAlign w:val="bottom"/>
          </w:tcPr>
          <w:p w:rsidR="00E57B92" w:rsidRPr="00491625" w:rsidRDefault="00E57B92" w:rsidP="0087170A">
            <w:pPr>
              <w:shd w:val="clear" w:color="auto" w:fill="FFFFFF"/>
              <w:rPr>
                <w:b/>
                <w:sz w:val="20"/>
                <w:szCs w:val="20"/>
              </w:rPr>
            </w:pPr>
            <w:r w:rsidRPr="00491625">
              <w:rPr>
                <w:b/>
                <w:sz w:val="20"/>
                <w:szCs w:val="20"/>
              </w:rPr>
              <w:t>20.</w:t>
            </w:r>
          </w:p>
        </w:tc>
        <w:tc>
          <w:tcPr>
            <w:tcW w:w="7263" w:type="dxa"/>
            <w:vAlign w:val="bottom"/>
          </w:tcPr>
          <w:p w:rsidR="00E57B92" w:rsidRPr="00491625" w:rsidRDefault="00E57B92" w:rsidP="0087170A">
            <w:pPr>
              <w:shd w:val="clear" w:color="auto" w:fill="FFFFFF"/>
              <w:rPr>
                <w:b/>
                <w:sz w:val="20"/>
                <w:szCs w:val="20"/>
              </w:rPr>
            </w:pPr>
            <w:r w:rsidRPr="00491625">
              <w:rPr>
                <w:b/>
                <w:sz w:val="20"/>
                <w:szCs w:val="20"/>
              </w:rPr>
              <w:t xml:space="preserve">Motelet </w:t>
            </w:r>
          </w:p>
        </w:tc>
        <w:tc>
          <w:tcPr>
            <w:tcW w:w="1260" w:type="dxa"/>
          </w:tcPr>
          <w:p w:rsidR="00E57B92" w:rsidRPr="00491625" w:rsidRDefault="00E57B92" w:rsidP="0087170A">
            <w:pPr>
              <w:jc w:val="right"/>
              <w:rPr>
                <w:b/>
                <w:sz w:val="20"/>
                <w:szCs w:val="20"/>
              </w:rPr>
            </w:pPr>
            <w:r w:rsidRPr="00491625">
              <w:rPr>
                <w:b/>
                <w:sz w:val="20"/>
                <w:szCs w:val="20"/>
              </w:rPr>
              <w:t>300.00</w:t>
            </w:r>
          </w:p>
        </w:tc>
      </w:tr>
      <w:tr w:rsidR="00E57B92" w:rsidRPr="00491625" w:rsidTr="0087170A">
        <w:trPr>
          <w:trHeight w:val="278"/>
        </w:trPr>
        <w:tc>
          <w:tcPr>
            <w:tcW w:w="657" w:type="dxa"/>
            <w:vAlign w:val="bottom"/>
          </w:tcPr>
          <w:p w:rsidR="00E57B92" w:rsidRPr="00491625" w:rsidRDefault="00E57B92" w:rsidP="0087170A">
            <w:pPr>
              <w:shd w:val="clear" w:color="auto" w:fill="FFFFFF"/>
              <w:rPr>
                <w:sz w:val="20"/>
                <w:szCs w:val="20"/>
              </w:rPr>
            </w:pPr>
            <w:r w:rsidRPr="00491625">
              <w:rPr>
                <w:sz w:val="20"/>
                <w:szCs w:val="20"/>
              </w:rPr>
              <w:t>21.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Ndërmarrjet e sigurimit fizik të objekteve </w:t>
            </w:r>
          </w:p>
        </w:tc>
        <w:tc>
          <w:tcPr>
            <w:tcW w:w="126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22.</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Pompat e benzinës – baza (në rrugë regjionale) </w:t>
            </w:r>
          </w:p>
        </w:tc>
        <w:tc>
          <w:tcPr>
            <w:tcW w:w="126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23.</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Pompat e benzinës në fshatra </w:t>
            </w:r>
          </w:p>
        </w:tc>
        <w:tc>
          <w:tcPr>
            <w:tcW w:w="126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24.</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Diskotekat </w:t>
            </w:r>
          </w:p>
        </w:tc>
        <w:tc>
          <w:tcPr>
            <w:tcW w:w="126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25.</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Diskobaret </w:t>
            </w:r>
          </w:p>
        </w:tc>
        <w:tc>
          <w:tcPr>
            <w:tcW w:w="126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26.</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Klubet e natës </w:t>
            </w:r>
          </w:p>
        </w:tc>
        <w:tc>
          <w:tcPr>
            <w:tcW w:w="1260" w:type="dxa"/>
          </w:tcPr>
          <w:p w:rsidR="00E57B92" w:rsidRPr="00491625" w:rsidRDefault="00E57B92" w:rsidP="0087170A">
            <w:pPr>
              <w:jc w:val="right"/>
              <w:rPr>
                <w:sz w:val="20"/>
                <w:szCs w:val="20"/>
              </w:rPr>
            </w:pPr>
            <w:r w:rsidRPr="00491625">
              <w:rPr>
                <w:sz w:val="20"/>
                <w:szCs w:val="20"/>
              </w:rPr>
              <w:t>500.00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27.</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Klinikat mjekësore </w:t>
            </w:r>
          </w:p>
        </w:tc>
        <w:tc>
          <w:tcPr>
            <w:tcW w:w="1260" w:type="dxa"/>
          </w:tcPr>
          <w:p w:rsidR="00E57B92" w:rsidRPr="00491625" w:rsidRDefault="00E57B92" w:rsidP="0087170A">
            <w:pPr>
              <w:jc w:val="right"/>
              <w:rPr>
                <w:sz w:val="20"/>
                <w:szCs w:val="20"/>
              </w:rPr>
            </w:pPr>
            <w:r w:rsidRPr="00491625">
              <w:rPr>
                <w:sz w:val="20"/>
                <w:szCs w:val="20"/>
              </w:rPr>
              <w:t>300.00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28.</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Ambulancat, laboratorët, rendgenët, stomatologët </w:t>
            </w:r>
          </w:p>
        </w:tc>
        <w:tc>
          <w:tcPr>
            <w:tcW w:w="126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29.</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Autoshkollat </w:t>
            </w:r>
          </w:p>
        </w:tc>
        <w:tc>
          <w:tcPr>
            <w:tcW w:w="126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30.</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Noterët </w:t>
            </w:r>
          </w:p>
        </w:tc>
        <w:tc>
          <w:tcPr>
            <w:tcW w:w="1260" w:type="dxa"/>
          </w:tcPr>
          <w:p w:rsidR="00E57B92" w:rsidRPr="00491625" w:rsidRDefault="00E57B92" w:rsidP="0087170A">
            <w:pPr>
              <w:jc w:val="right"/>
              <w:rPr>
                <w:sz w:val="20"/>
                <w:szCs w:val="20"/>
              </w:rPr>
            </w:pPr>
            <w:r w:rsidRPr="00491625">
              <w:rPr>
                <w:sz w:val="20"/>
                <w:szCs w:val="20"/>
              </w:rPr>
              <w:t>200.00</w:t>
            </w:r>
          </w:p>
        </w:tc>
      </w:tr>
      <w:tr w:rsidR="00E57B92" w:rsidRPr="00491625" w:rsidTr="0087170A">
        <w:tc>
          <w:tcPr>
            <w:tcW w:w="657" w:type="dxa"/>
            <w:vAlign w:val="bottom"/>
          </w:tcPr>
          <w:p w:rsidR="00E57B92" w:rsidRPr="00491625" w:rsidRDefault="00E57B92" w:rsidP="0087170A">
            <w:pPr>
              <w:shd w:val="clear" w:color="auto" w:fill="FFFFFF"/>
              <w:rPr>
                <w:sz w:val="20"/>
                <w:szCs w:val="20"/>
              </w:rPr>
            </w:pPr>
            <w:r w:rsidRPr="00491625">
              <w:rPr>
                <w:sz w:val="20"/>
                <w:szCs w:val="20"/>
              </w:rPr>
              <w:t>31.</w:t>
            </w:r>
          </w:p>
        </w:tc>
        <w:tc>
          <w:tcPr>
            <w:tcW w:w="7263" w:type="dxa"/>
            <w:vAlign w:val="bottom"/>
          </w:tcPr>
          <w:p w:rsidR="00E57B92" w:rsidRPr="00491625" w:rsidRDefault="00E57B92" w:rsidP="0087170A">
            <w:pPr>
              <w:shd w:val="clear" w:color="auto" w:fill="FFFFFF"/>
              <w:rPr>
                <w:sz w:val="20"/>
                <w:szCs w:val="20"/>
              </w:rPr>
            </w:pPr>
            <w:r w:rsidRPr="00491625">
              <w:rPr>
                <w:sz w:val="20"/>
                <w:szCs w:val="20"/>
              </w:rPr>
              <w:t xml:space="preserve">Avokatët </w:t>
            </w:r>
          </w:p>
        </w:tc>
        <w:tc>
          <w:tcPr>
            <w:tcW w:w="1260" w:type="dxa"/>
          </w:tcPr>
          <w:p w:rsidR="00E57B92" w:rsidRPr="00491625" w:rsidRDefault="00E57B92" w:rsidP="0087170A">
            <w:pPr>
              <w:jc w:val="right"/>
              <w:rPr>
                <w:sz w:val="20"/>
                <w:szCs w:val="20"/>
              </w:rPr>
            </w:pPr>
            <w:r w:rsidRPr="00491625">
              <w:rPr>
                <w:sz w:val="20"/>
                <w:szCs w:val="20"/>
              </w:rPr>
              <w:t>200.00</w:t>
            </w:r>
          </w:p>
        </w:tc>
      </w:tr>
      <w:tr w:rsidR="00E57B92" w:rsidRPr="00491625" w:rsidTr="0087170A">
        <w:trPr>
          <w:trHeight w:val="215"/>
        </w:trPr>
        <w:tc>
          <w:tcPr>
            <w:tcW w:w="657" w:type="dxa"/>
            <w:vAlign w:val="bottom"/>
          </w:tcPr>
          <w:p w:rsidR="00E57B92" w:rsidRPr="00491625" w:rsidRDefault="00E57B92" w:rsidP="0087170A">
            <w:pPr>
              <w:shd w:val="clear" w:color="auto" w:fill="FFFFFF"/>
              <w:rPr>
                <w:sz w:val="20"/>
                <w:szCs w:val="20"/>
              </w:rPr>
            </w:pPr>
            <w:r w:rsidRPr="00491625">
              <w:rPr>
                <w:sz w:val="20"/>
                <w:szCs w:val="20"/>
              </w:rPr>
              <w:t>32.</w:t>
            </w:r>
          </w:p>
        </w:tc>
        <w:tc>
          <w:tcPr>
            <w:tcW w:w="7263" w:type="dxa"/>
            <w:vAlign w:val="bottom"/>
          </w:tcPr>
          <w:p w:rsidR="00E57B92" w:rsidRPr="00491625" w:rsidRDefault="00E57B92" w:rsidP="0087170A">
            <w:pPr>
              <w:shd w:val="clear" w:color="auto" w:fill="FFFFFF"/>
              <w:rPr>
                <w:sz w:val="20"/>
                <w:szCs w:val="20"/>
              </w:rPr>
            </w:pPr>
            <w:r w:rsidRPr="00491625">
              <w:rPr>
                <w:sz w:val="20"/>
                <w:szCs w:val="20"/>
              </w:rPr>
              <w:t>Përmbaruesit privatë</w:t>
            </w:r>
          </w:p>
        </w:tc>
        <w:tc>
          <w:tcPr>
            <w:tcW w:w="1260" w:type="dxa"/>
          </w:tcPr>
          <w:p w:rsidR="00E57B92" w:rsidRPr="00491625" w:rsidRDefault="00E57B92" w:rsidP="0087170A">
            <w:pPr>
              <w:jc w:val="right"/>
              <w:rPr>
                <w:sz w:val="20"/>
                <w:szCs w:val="20"/>
              </w:rPr>
            </w:pPr>
            <w:r w:rsidRPr="00491625">
              <w:rPr>
                <w:sz w:val="20"/>
                <w:szCs w:val="20"/>
              </w:rPr>
              <w:t>150.00</w:t>
            </w:r>
          </w:p>
        </w:tc>
      </w:tr>
    </w:tbl>
    <w:p w:rsidR="00E57B92" w:rsidRPr="00491625" w:rsidRDefault="00E57B92" w:rsidP="00491625">
      <w:pPr>
        <w:jc w:val="both"/>
        <w:rPr>
          <w:b/>
        </w:rPr>
      </w:pPr>
    </w:p>
    <w:p w:rsidR="00E57B92" w:rsidRPr="00491625" w:rsidRDefault="00E57B92" w:rsidP="00491625">
      <w:pPr>
        <w:jc w:val="both"/>
        <w:rPr>
          <w:b/>
        </w:rPr>
      </w:pPr>
    </w:p>
    <w:tbl>
      <w:tblPr>
        <w:tblW w:w="0" w:type="auto"/>
        <w:tblInd w:w="198" w:type="dxa"/>
        <w:tblLook w:val="00A0"/>
      </w:tblPr>
      <w:tblGrid>
        <w:gridCol w:w="630"/>
        <w:gridCol w:w="8550"/>
      </w:tblGrid>
      <w:tr w:rsidR="00E57B92" w:rsidRPr="00491625" w:rsidTr="0087170A">
        <w:tc>
          <w:tcPr>
            <w:tcW w:w="630" w:type="dxa"/>
          </w:tcPr>
          <w:p w:rsidR="00E57B92" w:rsidRPr="00491625" w:rsidRDefault="00E57B92" w:rsidP="0087170A">
            <w:pPr>
              <w:jc w:val="right"/>
            </w:pPr>
            <w:r w:rsidRPr="00491625">
              <w:rPr>
                <w:sz w:val="22"/>
                <w:szCs w:val="22"/>
              </w:rPr>
              <w:t>2.</w:t>
            </w:r>
          </w:p>
        </w:tc>
        <w:tc>
          <w:tcPr>
            <w:tcW w:w="8550" w:type="dxa"/>
          </w:tcPr>
          <w:p w:rsidR="00E57B92" w:rsidRPr="00491625" w:rsidRDefault="00E57B92" w:rsidP="0087170A">
            <w:pPr>
              <w:pStyle w:val="ListParagraph"/>
              <w:shd w:val="clear" w:color="auto" w:fill="FFFFFF"/>
              <w:ind w:left="0"/>
            </w:pPr>
            <w:r w:rsidRPr="00491625">
              <w:rPr>
                <w:sz w:val="22"/>
                <w:szCs w:val="22"/>
              </w:rPr>
              <w:t xml:space="preserve">Tarifat dhe ngarkesat  prej 1-32  sipas nenit 4 paragrafi 1 të kësaj rregulloreje, mund të paguhen në 2 këste (kësti i parë deri më 30 qershor, kurse kësti i dytë deri më 31 dhjetor të vitit përkatës). </w:t>
            </w:r>
          </w:p>
        </w:tc>
      </w:tr>
      <w:tr w:rsidR="00E57B92" w:rsidRPr="00491625" w:rsidTr="0087170A">
        <w:tc>
          <w:tcPr>
            <w:tcW w:w="630" w:type="dxa"/>
          </w:tcPr>
          <w:p w:rsidR="00E57B92" w:rsidRPr="00491625" w:rsidRDefault="00E57B92" w:rsidP="0087170A">
            <w:pPr>
              <w:jc w:val="right"/>
            </w:pPr>
            <w:r w:rsidRPr="00491625">
              <w:rPr>
                <w:sz w:val="22"/>
                <w:szCs w:val="22"/>
              </w:rPr>
              <w:t>3.</w:t>
            </w:r>
          </w:p>
        </w:tc>
        <w:tc>
          <w:tcPr>
            <w:tcW w:w="8550" w:type="dxa"/>
          </w:tcPr>
          <w:p w:rsidR="00E57B92" w:rsidRPr="00491625" w:rsidRDefault="00E57B92" w:rsidP="0087170A">
            <w:pPr>
              <w:pStyle w:val="ListParagraph"/>
              <w:shd w:val="clear" w:color="auto" w:fill="FFFFFF"/>
              <w:ind w:left="0"/>
            </w:pPr>
            <w:r w:rsidRPr="00491625">
              <w:rPr>
                <w:sz w:val="22"/>
                <w:szCs w:val="22"/>
              </w:rPr>
              <w:t>Subjektet afariste që operojnë brenda territorit të komunës në ma shumë lokacione paguajnë 40% të bazës së tarifës.</w:t>
            </w:r>
          </w:p>
        </w:tc>
      </w:tr>
    </w:tbl>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p w:rsidR="00E57B92" w:rsidRPr="00491625" w:rsidRDefault="00E57B92" w:rsidP="00491625">
      <w:pPr>
        <w:jc w:val="both"/>
        <w:rPr>
          <w:b/>
        </w:rPr>
      </w:pPr>
    </w:p>
    <w:sectPr w:rsidR="00E57B92" w:rsidRPr="00491625" w:rsidSect="00F97CB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B92" w:rsidRDefault="00E57B92" w:rsidP="008D6285">
      <w:r>
        <w:separator/>
      </w:r>
    </w:p>
  </w:endnote>
  <w:endnote w:type="continuationSeparator" w:id="0">
    <w:p w:rsidR="00E57B92" w:rsidRDefault="00E57B92" w:rsidP="008D6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92" w:rsidRDefault="00E57B92">
    <w:pPr>
      <w:pStyle w:val="Footer"/>
      <w:jc w:val="right"/>
    </w:pPr>
    <w:fldSimple w:instr=" PAGE   \* MERGEFORMAT ">
      <w:r>
        <w:rPr>
          <w:noProof/>
        </w:rPr>
        <w:t>4</w:t>
      </w:r>
    </w:fldSimple>
  </w:p>
  <w:p w:rsidR="00E57B92" w:rsidRDefault="00E57B92">
    <w:pPr>
      <w:pStyle w:val="Footer"/>
    </w:pPr>
  </w:p>
  <w:p w:rsidR="00E57B92" w:rsidRDefault="00E57B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B92" w:rsidRDefault="00E57B92" w:rsidP="008D6285">
      <w:r>
        <w:separator/>
      </w:r>
    </w:p>
  </w:footnote>
  <w:footnote w:type="continuationSeparator" w:id="0">
    <w:p w:rsidR="00E57B92" w:rsidRDefault="00E57B92" w:rsidP="008D6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72AB"/>
    <w:multiLevelType w:val="hybridMultilevel"/>
    <w:tmpl w:val="D89A4690"/>
    <w:lvl w:ilvl="0" w:tplc="7CF071FC">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D5EDE"/>
    <w:multiLevelType w:val="multilevel"/>
    <w:tmpl w:val="D18EABD0"/>
    <w:lvl w:ilvl="0">
      <w:start w:val="1"/>
      <w:numFmt w:val="decimal"/>
      <w:lvlText w:val="%1."/>
      <w:lvlJc w:val="left"/>
      <w:pPr>
        <w:ind w:left="360" w:hanging="360"/>
      </w:pPr>
      <w:rPr>
        <w:rFonts w:cs="Times New Roman"/>
      </w:rPr>
    </w:lvl>
    <w:lvl w:ilvl="1">
      <w:start w:val="1"/>
      <w:numFmt w:val="decimal"/>
      <w:isLgl/>
      <w:lvlText w:val="%1.%2."/>
      <w:lvlJc w:val="left"/>
      <w:pPr>
        <w:ind w:left="900" w:hanging="720"/>
      </w:pPr>
      <w:rPr>
        <w:rFonts w:cs="Times New Roman" w:hint="default"/>
        <w:sz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06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
    <w:nsid w:val="2E217167"/>
    <w:multiLevelType w:val="hybridMultilevel"/>
    <w:tmpl w:val="B40842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5FE0642"/>
    <w:multiLevelType w:val="multilevel"/>
    <w:tmpl w:val="416AE264"/>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
    <w:nsid w:val="47A00EFE"/>
    <w:multiLevelType w:val="hybridMultilevel"/>
    <w:tmpl w:val="B20C2D70"/>
    <w:lvl w:ilvl="0" w:tplc="944A7DEE">
      <w:start w:val="1"/>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EA849A4"/>
    <w:multiLevelType w:val="hybridMultilevel"/>
    <w:tmpl w:val="62B676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53326679"/>
    <w:multiLevelType w:val="hybridMultilevel"/>
    <w:tmpl w:val="9F562960"/>
    <w:lvl w:ilvl="0" w:tplc="ED5CA80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94278"/>
    <w:multiLevelType w:val="hybridMultilevel"/>
    <w:tmpl w:val="686ECF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6B973E90"/>
    <w:multiLevelType w:val="hybridMultilevel"/>
    <w:tmpl w:val="6B727E74"/>
    <w:lvl w:ilvl="0" w:tplc="2E442EB6">
      <w:start w:val="15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A16551"/>
    <w:multiLevelType w:val="hybridMultilevel"/>
    <w:tmpl w:val="57CC82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7"/>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63D"/>
    <w:rsid w:val="000434C6"/>
    <w:rsid w:val="00114E3B"/>
    <w:rsid w:val="00183D7A"/>
    <w:rsid w:val="001D3187"/>
    <w:rsid w:val="00281108"/>
    <w:rsid w:val="0028435D"/>
    <w:rsid w:val="0030537B"/>
    <w:rsid w:val="003371E4"/>
    <w:rsid w:val="00390015"/>
    <w:rsid w:val="00491625"/>
    <w:rsid w:val="004D49E0"/>
    <w:rsid w:val="004E2B2A"/>
    <w:rsid w:val="0055508C"/>
    <w:rsid w:val="00567603"/>
    <w:rsid w:val="005A604A"/>
    <w:rsid w:val="005B4C85"/>
    <w:rsid w:val="006B2504"/>
    <w:rsid w:val="007105F0"/>
    <w:rsid w:val="007501CE"/>
    <w:rsid w:val="00812282"/>
    <w:rsid w:val="00817DFF"/>
    <w:rsid w:val="008208C2"/>
    <w:rsid w:val="008428DB"/>
    <w:rsid w:val="00852D08"/>
    <w:rsid w:val="008702CD"/>
    <w:rsid w:val="0087170A"/>
    <w:rsid w:val="008D6285"/>
    <w:rsid w:val="00921A0C"/>
    <w:rsid w:val="0096372B"/>
    <w:rsid w:val="0099074D"/>
    <w:rsid w:val="00A061A0"/>
    <w:rsid w:val="00AF2CB4"/>
    <w:rsid w:val="00B0111D"/>
    <w:rsid w:val="00B0561F"/>
    <w:rsid w:val="00B50375"/>
    <w:rsid w:val="00B908C9"/>
    <w:rsid w:val="00BB4B87"/>
    <w:rsid w:val="00BC2E0E"/>
    <w:rsid w:val="00BC463D"/>
    <w:rsid w:val="00BE6C2B"/>
    <w:rsid w:val="00C23B65"/>
    <w:rsid w:val="00CA6F2F"/>
    <w:rsid w:val="00E57B92"/>
    <w:rsid w:val="00E82469"/>
    <w:rsid w:val="00F97C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3D"/>
    <w:rPr>
      <w:rFonts w:ascii="Times New Roman" w:eastAsia="Times New Roman" w:hAnsi="Times New Roman"/>
      <w:sz w:val="24"/>
      <w:szCs w:val="24"/>
      <w:lang w:val="sq-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463D"/>
    <w:pPr>
      <w:tabs>
        <w:tab w:val="center" w:pos="4680"/>
        <w:tab w:val="right" w:pos="9360"/>
      </w:tabs>
    </w:pPr>
  </w:style>
  <w:style w:type="character" w:customStyle="1" w:styleId="FooterChar">
    <w:name w:val="Footer Char"/>
    <w:basedOn w:val="DefaultParagraphFont"/>
    <w:link w:val="Footer"/>
    <w:uiPriority w:val="99"/>
    <w:locked/>
    <w:rsid w:val="00BC463D"/>
    <w:rPr>
      <w:rFonts w:ascii="Times New Roman" w:hAnsi="Times New Roman" w:cs="Times New Roman"/>
      <w:sz w:val="24"/>
      <w:szCs w:val="24"/>
      <w:lang w:val="sq-AL"/>
    </w:rPr>
  </w:style>
  <w:style w:type="paragraph" w:styleId="BodyTextIndent">
    <w:name w:val="Body Text Indent"/>
    <w:basedOn w:val="Normal"/>
    <w:link w:val="BodyTextIndentChar"/>
    <w:uiPriority w:val="99"/>
    <w:rsid w:val="00BC463D"/>
    <w:pPr>
      <w:ind w:left="720"/>
      <w:jc w:val="both"/>
    </w:pPr>
    <w:rPr>
      <w:rFonts w:eastAsia="MS Mincho"/>
    </w:rPr>
  </w:style>
  <w:style w:type="character" w:customStyle="1" w:styleId="BodyTextIndentChar">
    <w:name w:val="Body Text Indent Char"/>
    <w:basedOn w:val="DefaultParagraphFont"/>
    <w:link w:val="BodyTextIndent"/>
    <w:uiPriority w:val="99"/>
    <w:locked/>
    <w:rsid w:val="00BC463D"/>
    <w:rPr>
      <w:rFonts w:ascii="Times New Roman" w:eastAsia="MS Mincho" w:hAnsi="Times New Roman" w:cs="Times New Roman"/>
      <w:sz w:val="24"/>
      <w:szCs w:val="24"/>
      <w:lang w:val="sq-AL"/>
    </w:rPr>
  </w:style>
  <w:style w:type="paragraph" w:styleId="BlockText">
    <w:name w:val="Block Text"/>
    <w:basedOn w:val="Normal"/>
    <w:uiPriority w:val="99"/>
    <w:rsid w:val="00BC463D"/>
    <w:pPr>
      <w:ind w:left="360" w:right="150"/>
    </w:pPr>
    <w:rPr>
      <w:rFonts w:eastAsia="MS Mincho"/>
    </w:rPr>
  </w:style>
  <w:style w:type="paragraph" w:styleId="ListParagraph">
    <w:name w:val="List Paragraph"/>
    <w:basedOn w:val="Normal"/>
    <w:uiPriority w:val="99"/>
    <w:qFormat/>
    <w:rsid w:val="00BC463D"/>
    <w:pPr>
      <w:ind w:left="720"/>
    </w:pPr>
  </w:style>
  <w:style w:type="paragraph" w:styleId="Title">
    <w:name w:val="Title"/>
    <w:basedOn w:val="Normal"/>
    <w:next w:val="Normal"/>
    <w:link w:val="TitleChar"/>
    <w:uiPriority w:val="99"/>
    <w:qFormat/>
    <w:rsid w:val="00BC463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C463D"/>
    <w:rPr>
      <w:rFonts w:ascii="Cambria" w:hAnsi="Cambria" w:cs="Times New Roman"/>
      <w:b/>
      <w:bCs/>
      <w:kern w:val="28"/>
      <w:sz w:val="32"/>
      <w:szCs w:val="32"/>
      <w:lang w:val="sq-AL"/>
    </w:rPr>
  </w:style>
  <w:style w:type="paragraph" w:styleId="BalloonText">
    <w:name w:val="Balloon Text"/>
    <w:basedOn w:val="Normal"/>
    <w:link w:val="BalloonTextChar"/>
    <w:uiPriority w:val="99"/>
    <w:semiHidden/>
    <w:rsid w:val="00BC46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63D"/>
    <w:rPr>
      <w:rFonts w:ascii="Tahoma"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6</Pages>
  <Words>1515</Words>
  <Characters>8637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hevzi.matoshi</dc:creator>
  <cp:keywords/>
  <dc:description/>
  <cp:lastModifiedBy>Sadri.Arifi</cp:lastModifiedBy>
  <cp:revision>19</cp:revision>
  <dcterms:created xsi:type="dcterms:W3CDTF">2015-03-06T14:34:00Z</dcterms:created>
  <dcterms:modified xsi:type="dcterms:W3CDTF">2015-03-17T09:09:00Z</dcterms:modified>
</cp:coreProperties>
</file>