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A6" w:rsidRPr="006A610D" w:rsidRDefault="00F44CA6" w:rsidP="00530D69">
      <w:pPr>
        <w:autoSpaceDE w:val="0"/>
        <w:autoSpaceDN w:val="0"/>
        <w:adjustRightInd w:val="0"/>
        <w:rPr>
          <w:rFonts w:ascii="Book Antiqua" w:hAnsi="Book Antiqua" w:cs="Book Antiqua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4068"/>
        <w:gridCol w:w="1530"/>
        <w:gridCol w:w="3258"/>
      </w:tblGrid>
      <w:tr w:rsidR="00F44CA6" w:rsidRPr="006A610D" w:rsidTr="00487D1C">
        <w:trPr>
          <w:trHeight w:val="1376"/>
        </w:trPr>
        <w:tc>
          <w:tcPr>
            <w:tcW w:w="4068" w:type="dxa"/>
          </w:tcPr>
          <w:p w:rsidR="00F44CA6" w:rsidRPr="006A610D" w:rsidRDefault="00F44CA6" w:rsidP="00487D1C">
            <w:pPr>
              <w:rPr>
                <w:rFonts w:ascii="Book Antiqua" w:hAnsi="Book Antiqua"/>
                <w:sz w:val="20"/>
                <w:szCs w:val="20"/>
              </w:rPr>
            </w:pPr>
            <w:r w:rsidRPr="006A610D">
              <w:rPr>
                <w:sz w:val="22"/>
                <w:szCs w:val="22"/>
              </w:rPr>
              <w:t xml:space="preserve">      </w:t>
            </w:r>
            <w:r w:rsidR="00C512BB">
              <w:rPr>
                <w:noProof/>
                <w:lang w:val="en-US"/>
              </w:rPr>
              <w:drawing>
                <wp:inline distT="0" distB="0" distL="0" distR="0">
                  <wp:extent cx="788035" cy="800100"/>
                  <wp:effectExtent l="19050" t="0" r="0" b="0"/>
                  <wp:docPr id="1" name="Picture 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F44CA6" w:rsidRPr="006A610D" w:rsidRDefault="00F44CA6" w:rsidP="00487D1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F44CA6" w:rsidRPr="006A610D" w:rsidRDefault="00F44CA6" w:rsidP="00487D1C">
            <w:pPr>
              <w:rPr>
                <w:sz w:val="20"/>
                <w:szCs w:val="20"/>
              </w:rPr>
            </w:pPr>
            <w:r w:rsidRPr="006A610D">
              <w:rPr>
                <w:sz w:val="22"/>
                <w:szCs w:val="22"/>
              </w:rPr>
              <w:t xml:space="preserve">          </w:t>
            </w:r>
            <w:r w:rsidR="00C512BB">
              <w:rPr>
                <w:noProof/>
                <w:lang w:val="en-US"/>
              </w:rPr>
              <w:drawing>
                <wp:inline distT="0" distB="0" distL="0" distR="0">
                  <wp:extent cx="770255" cy="817880"/>
                  <wp:effectExtent l="19050" t="0" r="0" b="0"/>
                  <wp:docPr id="2" name="Picture 2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CA6" w:rsidRPr="006A610D" w:rsidRDefault="00F44CA6" w:rsidP="00487D1C">
            <w:pPr>
              <w:rPr>
                <w:sz w:val="20"/>
                <w:szCs w:val="20"/>
              </w:rPr>
            </w:pPr>
            <w:r w:rsidRPr="006A610D">
              <w:rPr>
                <w:sz w:val="20"/>
                <w:szCs w:val="20"/>
              </w:rPr>
              <w:t xml:space="preserve">  </w:t>
            </w:r>
          </w:p>
        </w:tc>
      </w:tr>
      <w:tr w:rsidR="00F44CA6" w:rsidRPr="006A610D" w:rsidTr="006A610D">
        <w:tc>
          <w:tcPr>
            <w:tcW w:w="4068" w:type="dxa"/>
          </w:tcPr>
          <w:p w:rsidR="00F44CA6" w:rsidRPr="006A610D" w:rsidRDefault="00F44CA6" w:rsidP="00487D1C">
            <w:pPr>
              <w:jc w:val="both"/>
              <w:rPr>
                <w:rFonts w:ascii="Book Antiqua" w:hAnsi="Book Antiqua"/>
              </w:rPr>
            </w:pPr>
            <w:r w:rsidRPr="006A610D">
              <w:rPr>
                <w:rFonts w:ascii="Book Antiqua" w:hAnsi="Book Antiqua"/>
                <w:sz w:val="22"/>
                <w:szCs w:val="22"/>
              </w:rPr>
              <w:t>REPUBLIKA E KOSOVËS</w:t>
            </w:r>
          </w:p>
          <w:p w:rsidR="00F44CA6" w:rsidRPr="006A610D" w:rsidRDefault="00F44CA6" w:rsidP="00487D1C">
            <w:pPr>
              <w:jc w:val="both"/>
              <w:rPr>
                <w:rFonts w:ascii="Book Antiqua" w:hAnsi="Book Antiqua"/>
              </w:rPr>
            </w:pPr>
            <w:r w:rsidRPr="006A610D">
              <w:rPr>
                <w:rFonts w:ascii="Book Antiqua" w:hAnsi="Book Antiqua"/>
                <w:sz w:val="22"/>
                <w:szCs w:val="22"/>
              </w:rPr>
              <w:t>REPUBLIKA KOSOVA</w:t>
            </w:r>
          </w:p>
          <w:p w:rsidR="00F44CA6" w:rsidRPr="006A610D" w:rsidRDefault="00F44CA6" w:rsidP="00487D1C">
            <w:pPr>
              <w:jc w:val="both"/>
              <w:rPr>
                <w:rFonts w:ascii="Book Antiqua" w:hAnsi="Book Antiqua"/>
              </w:rPr>
            </w:pPr>
            <w:r w:rsidRPr="006A610D">
              <w:rPr>
                <w:rFonts w:ascii="Book Antiqua" w:hAnsi="Book Antiqua"/>
                <w:sz w:val="22"/>
                <w:szCs w:val="22"/>
              </w:rPr>
              <w:t>REPUBLIC OF KOSOVO</w:t>
            </w:r>
          </w:p>
        </w:tc>
        <w:tc>
          <w:tcPr>
            <w:tcW w:w="1530" w:type="dxa"/>
            <w:vMerge/>
          </w:tcPr>
          <w:p w:rsidR="00F44CA6" w:rsidRPr="006A610D" w:rsidRDefault="00F44CA6" w:rsidP="00487D1C"/>
        </w:tc>
        <w:tc>
          <w:tcPr>
            <w:tcW w:w="3258" w:type="dxa"/>
          </w:tcPr>
          <w:p w:rsidR="00F44CA6" w:rsidRPr="006A610D" w:rsidRDefault="00F44CA6" w:rsidP="00487D1C">
            <w:pPr>
              <w:jc w:val="both"/>
              <w:rPr>
                <w:rFonts w:ascii="Book Antiqua" w:hAnsi="Book Antiqua"/>
              </w:rPr>
            </w:pPr>
            <w:r w:rsidRPr="006A610D">
              <w:rPr>
                <w:rFonts w:ascii="Book Antiqua" w:hAnsi="Book Antiqua"/>
                <w:sz w:val="22"/>
                <w:szCs w:val="22"/>
              </w:rPr>
              <w:t>KOMUNA E GJILANIT</w:t>
            </w:r>
          </w:p>
          <w:p w:rsidR="00F44CA6" w:rsidRPr="006A610D" w:rsidRDefault="00F44CA6" w:rsidP="00487D1C">
            <w:pPr>
              <w:jc w:val="both"/>
              <w:rPr>
                <w:rFonts w:ascii="Book Antiqua" w:hAnsi="Book Antiqua"/>
              </w:rPr>
            </w:pPr>
            <w:r w:rsidRPr="006A610D">
              <w:rPr>
                <w:rFonts w:ascii="Book Antiqua" w:hAnsi="Book Antiqua"/>
                <w:sz w:val="22"/>
                <w:szCs w:val="22"/>
              </w:rPr>
              <w:t>OPŠTINA GNJILANE</w:t>
            </w:r>
          </w:p>
          <w:p w:rsidR="00F44CA6" w:rsidRPr="006A610D" w:rsidRDefault="00F44CA6" w:rsidP="00487D1C">
            <w:pPr>
              <w:jc w:val="both"/>
              <w:rPr>
                <w:rFonts w:ascii="Book Antiqua" w:hAnsi="Book Antiqua"/>
              </w:rPr>
            </w:pPr>
            <w:r w:rsidRPr="006A610D">
              <w:rPr>
                <w:rFonts w:ascii="Book Antiqua" w:hAnsi="Book Antiqua"/>
                <w:sz w:val="22"/>
                <w:szCs w:val="22"/>
              </w:rPr>
              <w:t>MUNICIPALITY OF GJILAN</w:t>
            </w:r>
          </w:p>
          <w:p w:rsidR="00F44CA6" w:rsidRPr="006A610D" w:rsidRDefault="00F44CA6" w:rsidP="00487D1C">
            <w:pPr>
              <w:jc w:val="both"/>
              <w:rPr>
                <w:rFonts w:ascii="Book Antiqua" w:hAnsi="Book Antiqua"/>
              </w:rPr>
            </w:pPr>
            <w:r w:rsidRPr="006A610D">
              <w:rPr>
                <w:rFonts w:ascii="Book Antiqua" w:hAnsi="Book Antiqua"/>
                <w:sz w:val="22"/>
                <w:szCs w:val="22"/>
              </w:rPr>
              <w:t>GILAN BELEDIYESI</w:t>
            </w:r>
          </w:p>
        </w:tc>
      </w:tr>
      <w:tr w:rsidR="00F44CA6" w:rsidRPr="006A610D" w:rsidTr="00487D1C">
        <w:tc>
          <w:tcPr>
            <w:tcW w:w="4068" w:type="dxa"/>
            <w:tcBorders>
              <w:bottom w:val="single" w:sz="4" w:space="0" w:color="auto"/>
            </w:tcBorders>
          </w:tcPr>
          <w:p w:rsidR="00F44CA6" w:rsidRPr="006A610D" w:rsidRDefault="00F44CA6" w:rsidP="00487D1C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44CA6" w:rsidRPr="006A610D" w:rsidRDefault="00F44CA6" w:rsidP="00487D1C"/>
        </w:tc>
        <w:tc>
          <w:tcPr>
            <w:tcW w:w="3258" w:type="dxa"/>
            <w:tcBorders>
              <w:bottom w:val="single" w:sz="4" w:space="0" w:color="auto"/>
            </w:tcBorders>
          </w:tcPr>
          <w:p w:rsidR="00F44CA6" w:rsidRPr="006A610D" w:rsidRDefault="00F44CA6" w:rsidP="00487D1C">
            <w:pPr>
              <w:jc w:val="both"/>
              <w:rPr>
                <w:rFonts w:ascii="Book Antiqua" w:hAnsi="Book Antiqua"/>
              </w:rPr>
            </w:pPr>
          </w:p>
        </w:tc>
      </w:tr>
    </w:tbl>
    <w:p w:rsidR="00F44CA6" w:rsidRPr="006A610D" w:rsidRDefault="00F44CA6" w:rsidP="00530D69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EA421B" w:rsidRDefault="00EA421B" w:rsidP="00EA421B">
      <w:pPr>
        <w:autoSpaceDE w:val="0"/>
        <w:autoSpaceDN w:val="0"/>
        <w:adjustRightInd w:val="0"/>
        <w:jc w:val="right"/>
      </w:pPr>
      <w:r>
        <w:t>Projekt</w:t>
      </w: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Pr="006A610D" w:rsidRDefault="00EA421B" w:rsidP="00EA421B">
      <w:pPr>
        <w:autoSpaceDE w:val="0"/>
        <w:autoSpaceDN w:val="0"/>
        <w:adjustRightInd w:val="0"/>
        <w:jc w:val="center"/>
        <w:rPr>
          <w:b/>
          <w:bCs/>
        </w:rPr>
      </w:pPr>
      <w:r w:rsidRPr="006A610D">
        <w:rPr>
          <w:b/>
          <w:bCs/>
        </w:rPr>
        <w:t>RREGULLORE</w:t>
      </w:r>
    </w:p>
    <w:p w:rsidR="00EA421B" w:rsidRPr="006A610D" w:rsidRDefault="00EA421B" w:rsidP="00EA421B">
      <w:pPr>
        <w:autoSpaceDE w:val="0"/>
        <w:autoSpaceDN w:val="0"/>
        <w:adjustRightInd w:val="0"/>
        <w:jc w:val="center"/>
        <w:rPr>
          <w:b/>
          <w:bCs/>
        </w:rPr>
      </w:pPr>
    </w:p>
    <w:p w:rsidR="00EA421B" w:rsidRPr="006A610D" w:rsidRDefault="00EA421B" w:rsidP="00EA421B">
      <w:pPr>
        <w:autoSpaceDE w:val="0"/>
        <w:autoSpaceDN w:val="0"/>
        <w:adjustRightInd w:val="0"/>
        <w:jc w:val="center"/>
        <w:rPr>
          <w:b/>
          <w:bCs/>
        </w:rPr>
      </w:pPr>
      <w:r w:rsidRPr="006A610D">
        <w:rPr>
          <w:b/>
          <w:bCs/>
        </w:rPr>
        <w:t xml:space="preserve">PËR NDRYSHIMIN DHE PLOTËSIMIN E RREGULLORES PËR </w:t>
      </w:r>
    </w:p>
    <w:p w:rsidR="00EA421B" w:rsidRPr="006A610D" w:rsidRDefault="00EA421B" w:rsidP="00EA421B">
      <w:pPr>
        <w:autoSpaceDE w:val="0"/>
        <w:autoSpaceDN w:val="0"/>
        <w:adjustRightInd w:val="0"/>
        <w:jc w:val="center"/>
        <w:rPr>
          <w:b/>
          <w:bCs/>
        </w:rPr>
      </w:pPr>
      <w:r w:rsidRPr="006A610D">
        <w:rPr>
          <w:b/>
          <w:bCs/>
        </w:rPr>
        <w:t>TRANSPARENCË NË KOMUNËN E  GJILANIT 01 NR. 2681 DT. 12.03.2008</w:t>
      </w:r>
    </w:p>
    <w:p w:rsidR="00EA421B" w:rsidRPr="006A610D" w:rsidRDefault="00EA421B" w:rsidP="00EA421B">
      <w:pPr>
        <w:autoSpaceDE w:val="0"/>
        <w:autoSpaceDN w:val="0"/>
        <w:adjustRightInd w:val="0"/>
        <w:jc w:val="center"/>
        <w:rPr>
          <w:b/>
          <w:bCs/>
        </w:rPr>
      </w:pPr>
    </w:p>
    <w:p w:rsidR="00EA421B" w:rsidRPr="006A610D" w:rsidRDefault="00EA421B" w:rsidP="00EA421B">
      <w:pPr>
        <w:autoSpaceDE w:val="0"/>
        <w:autoSpaceDN w:val="0"/>
        <w:adjustRightInd w:val="0"/>
        <w:jc w:val="center"/>
        <w:rPr>
          <w:b/>
          <w:bCs/>
        </w:rPr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160A59">
      <w:pPr>
        <w:autoSpaceDE w:val="0"/>
        <w:autoSpaceDN w:val="0"/>
        <w:adjustRightInd w:val="0"/>
        <w:jc w:val="both"/>
      </w:pPr>
    </w:p>
    <w:p w:rsidR="00EA421B" w:rsidRDefault="00EA421B" w:rsidP="00EA421B">
      <w:pPr>
        <w:autoSpaceDE w:val="0"/>
        <w:autoSpaceDN w:val="0"/>
        <w:adjustRightInd w:val="0"/>
        <w:jc w:val="center"/>
      </w:pPr>
      <w:r>
        <w:t xml:space="preserve">Gjilan, </w:t>
      </w:r>
      <w:r w:rsidR="00DF462C">
        <w:t>prill</w:t>
      </w:r>
      <w:r>
        <w:t xml:space="preserve"> 2015</w:t>
      </w:r>
    </w:p>
    <w:p w:rsidR="00F44CA6" w:rsidRPr="006A610D" w:rsidRDefault="00F44CA6" w:rsidP="00160A59">
      <w:pPr>
        <w:autoSpaceDE w:val="0"/>
        <w:autoSpaceDN w:val="0"/>
        <w:adjustRightInd w:val="0"/>
        <w:jc w:val="both"/>
      </w:pPr>
      <w:r w:rsidRPr="006A610D">
        <w:lastRenderedPageBreak/>
        <w:t>Në bazë të dispozitave të nenit 11, nenit 12.2 shkronja c) dhe nenit 17 shkronja s) të Ligjit nr. 03/L – 040 për vetëqeverisjen lokale (“Gazeta zyrtare e Republikës së Kosovës”, nr. 28/2008), të dispozitave të nenit 38 nën</w:t>
      </w:r>
      <w:r>
        <w:t xml:space="preserve"> </w:t>
      </w:r>
      <w:r w:rsidRPr="006A610D">
        <w:t>paragrafi 1.3 të Statutit të Komunës së Gjilanit nr. 016-126211 të dt. 06.11.2014 dhe në zbatim të nenit 9 të Udhëzimit Administrativ nr. 05/2013 për Transparencë në Komuna,  Kuvendi Komunës së Gjilanit, në mbledhjen e mbajtur me ________________miratoi</w:t>
      </w:r>
    </w:p>
    <w:p w:rsidR="00F44CA6" w:rsidRPr="006A610D" w:rsidRDefault="00F44CA6" w:rsidP="003775A8">
      <w:pPr>
        <w:autoSpaceDE w:val="0"/>
        <w:autoSpaceDN w:val="0"/>
        <w:adjustRightInd w:val="0"/>
        <w:jc w:val="center"/>
        <w:rPr>
          <w:b/>
          <w:bCs/>
        </w:rPr>
      </w:pPr>
    </w:p>
    <w:p w:rsidR="00F44CA6" w:rsidRPr="006A610D" w:rsidRDefault="00F44CA6" w:rsidP="003775A8">
      <w:pPr>
        <w:autoSpaceDE w:val="0"/>
        <w:autoSpaceDN w:val="0"/>
        <w:adjustRightInd w:val="0"/>
        <w:jc w:val="center"/>
        <w:rPr>
          <w:b/>
          <w:bCs/>
        </w:rPr>
      </w:pPr>
    </w:p>
    <w:p w:rsidR="00F44CA6" w:rsidRPr="006A610D" w:rsidRDefault="00F44CA6" w:rsidP="003775A8">
      <w:pPr>
        <w:autoSpaceDE w:val="0"/>
        <w:autoSpaceDN w:val="0"/>
        <w:adjustRightInd w:val="0"/>
        <w:jc w:val="center"/>
        <w:rPr>
          <w:b/>
          <w:bCs/>
        </w:rPr>
      </w:pPr>
    </w:p>
    <w:p w:rsidR="00F44CA6" w:rsidRPr="006A610D" w:rsidRDefault="00F44CA6" w:rsidP="003775A8">
      <w:pPr>
        <w:autoSpaceDE w:val="0"/>
        <w:autoSpaceDN w:val="0"/>
        <w:adjustRightInd w:val="0"/>
        <w:jc w:val="center"/>
        <w:rPr>
          <w:b/>
          <w:bCs/>
        </w:rPr>
      </w:pPr>
      <w:r w:rsidRPr="006A610D">
        <w:rPr>
          <w:b/>
          <w:bCs/>
        </w:rPr>
        <w:t>RREGULLOREN</w:t>
      </w:r>
    </w:p>
    <w:p w:rsidR="00F44CA6" w:rsidRPr="006A610D" w:rsidRDefault="00F44CA6" w:rsidP="001F639A">
      <w:pPr>
        <w:autoSpaceDE w:val="0"/>
        <w:autoSpaceDN w:val="0"/>
        <w:adjustRightInd w:val="0"/>
        <w:jc w:val="center"/>
        <w:rPr>
          <w:b/>
          <w:bCs/>
        </w:rPr>
      </w:pPr>
      <w:r w:rsidRPr="006A610D">
        <w:rPr>
          <w:b/>
          <w:bCs/>
        </w:rPr>
        <w:t xml:space="preserve">PËR NDRYSHIMIN DHE PLOTËSIMIN E RREGULLORES PËR </w:t>
      </w:r>
    </w:p>
    <w:p w:rsidR="00F44CA6" w:rsidRPr="006A610D" w:rsidRDefault="00F44CA6" w:rsidP="001F639A">
      <w:pPr>
        <w:autoSpaceDE w:val="0"/>
        <w:autoSpaceDN w:val="0"/>
        <w:adjustRightInd w:val="0"/>
        <w:jc w:val="center"/>
        <w:rPr>
          <w:b/>
          <w:bCs/>
        </w:rPr>
      </w:pPr>
      <w:r w:rsidRPr="006A610D">
        <w:rPr>
          <w:b/>
          <w:bCs/>
        </w:rPr>
        <w:t>TRANSPARENCË NË KOMUNËN E  GJILANIT 01 NR. 2681 DT. 12.03.2008</w:t>
      </w:r>
    </w:p>
    <w:p w:rsidR="00F44CA6" w:rsidRPr="006A610D" w:rsidRDefault="00F44CA6" w:rsidP="001F639A">
      <w:pPr>
        <w:autoSpaceDE w:val="0"/>
        <w:autoSpaceDN w:val="0"/>
        <w:adjustRightInd w:val="0"/>
        <w:jc w:val="center"/>
        <w:rPr>
          <w:b/>
          <w:bCs/>
        </w:rPr>
      </w:pPr>
    </w:p>
    <w:p w:rsidR="00F44CA6" w:rsidRPr="006A610D" w:rsidRDefault="00F44CA6" w:rsidP="004260BF">
      <w:pPr>
        <w:autoSpaceDE w:val="0"/>
        <w:autoSpaceDN w:val="0"/>
        <w:adjustRightInd w:val="0"/>
        <w:jc w:val="center"/>
        <w:rPr>
          <w:b/>
          <w:bCs/>
        </w:rPr>
      </w:pPr>
    </w:p>
    <w:p w:rsidR="00F44CA6" w:rsidRPr="006A610D" w:rsidRDefault="00F44CA6" w:rsidP="004260BF">
      <w:pPr>
        <w:autoSpaceDE w:val="0"/>
        <w:autoSpaceDN w:val="0"/>
        <w:adjustRightInd w:val="0"/>
        <w:jc w:val="center"/>
        <w:rPr>
          <w:b/>
          <w:bCs/>
        </w:rPr>
      </w:pPr>
    </w:p>
    <w:p w:rsidR="00F44CA6" w:rsidRPr="006A610D" w:rsidRDefault="00F44CA6" w:rsidP="004260BF">
      <w:pPr>
        <w:autoSpaceDE w:val="0"/>
        <w:autoSpaceDN w:val="0"/>
        <w:adjustRightInd w:val="0"/>
        <w:jc w:val="center"/>
        <w:rPr>
          <w:b/>
          <w:bCs/>
        </w:rPr>
      </w:pPr>
      <w:r w:rsidRPr="006A610D">
        <w:rPr>
          <w:b/>
          <w:bCs/>
        </w:rPr>
        <w:t>Neni 1</w:t>
      </w:r>
    </w:p>
    <w:p w:rsidR="00F44CA6" w:rsidRPr="006A610D" w:rsidRDefault="00F44CA6" w:rsidP="004260BF">
      <w:pPr>
        <w:autoSpaceDE w:val="0"/>
        <w:autoSpaceDN w:val="0"/>
        <w:adjustRightInd w:val="0"/>
        <w:jc w:val="center"/>
        <w:rPr>
          <w:b/>
          <w:bCs/>
        </w:rPr>
      </w:pPr>
    </w:p>
    <w:p w:rsidR="00F44CA6" w:rsidRPr="006A610D" w:rsidRDefault="00F44CA6" w:rsidP="004260B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6A610D">
        <w:rPr>
          <w:bCs/>
        </w:rPr>
        <w:t>Në të gjitha nenet e rregullores bazë, fjal</w:t>
      </w:r>
      <w:r>
        <w:rPr>
          <w:bCs/>
        </w:rPr>
        <w:t>i</w:t>
      </w:r>
      <w:r w:rsidRPr="006A610D">
        <w:rPr>
          <w:bCs/>
        </w:rPr>
        <w:t>a “dokumente zyrtare” zëvendësohet me fjal</w:t>
      </w:r>
      <w:r>
        <w:rPr>
          <w:bCs/>
        </w:rPr>
        <w:t>inë</w:t>
      </w:r>
      <w:r w:rsidRPr="006A610D">
        <w:rPr>
          <w:bCs/>
        </w:rPr>
        <w:t xml:space="preserve"> “dokumente publike”.</w:t>
      </w:r>
    </w:p>
    <w:p w:rsidR="00F44CA6" w:rsidRPr="006A610D" w:rsidRDefault="00F44CA6" w:rsidP="004260B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6A610D">
        <w:rPr>
          <w:bCs/>
        </w:rPr>
        <w:t>Te neni 3 i rregullores ba</w:t>
      </w:r>
      <w:r>
        <w:rPr>
          <w:bCs/>
        </w:rPr>
        <w:t xml:space="preserve">zë, </w:t>
      </w:r>
      <w:r w:rsidRPr="006A610D">
        <w:rPr>
          <w:bCs/>
        </w:rPr>
        <w:t>fjal</w:t>
      </w:r>
      <w:r>
        <w:rPr>
          <w:bCs/>
        </w:rPr>
        <w:t>i</w:t>
      </w:r>
      <w:r w:rsidRPr="006A610D">
        <w:rPr>
          <w:bCs/>
        </w:rPr>
        <w:t>a “paragrafi 64.3” zëvendësohet me fjal</w:t>
      </w:r>
      <w:r>
        <w:rPr>
          <w:bCs/>
        </w:rPr>
        <w:t>inë</w:t>
      </w:r>
      <w:r w:rsidRPr="006A610D">
        <w:rPr>
          <w:bCs/>
        </w:rPr>
        <w:t xml:space="preserve"> “nenit 60 paragrafi 4”.</w:t>
      </w:r>
    </w:p>
    <w:p w:rsidR="00F44CA6" w:rsidRPr="006A610D" w:rsidRDefault="00F44CA6" w:rsidP="004260B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6A610D">
        <w:rPr>
          <w:bCs/>
        </w:rPr>
        <w:t>Te neni 4 paragrafi 4.2 në fund të paragrafit shtohet fjal</w:t>
      </w:r>
      <w:r>
        <w:rPr>
          <w:bCs/>
        </w:rPr>
        <w:t>i</w:t>
      </w:r>
      <w:r w:rsidRPr="006A610D">
        <w:rPr>
          <w:bCs/>
        </w:rPr>
        <w:t>a “përmes zyrtarit të zyrës për informim”.</w:t>
      </w:r>
    </w:p>
    <w:p w:rsidR="00F44CA6" w:rsidRPr="006A610D" w:rsidRDefault="00F44CA6" w:rsidP="004260B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6A610D">
        <w:rPr>
          <w:bCs/>
        </w:rPr>
        <w:t>Pas nenit 4 të rregullores bazë, titulli riformulohet dhe ka këtë përmbajtje “kërkesë për informim, iniciativat qytetare dhe peticioni”.</w:t>
      </w:r>
    </w:p>
    <w:p w:rsidR="00F44CA6" w:rsidRPr="006A610D" w:rsidRDefault="00F44CA6" w:rsidP="004260B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6A610D">
        <w:rPr>
          <w:bCs/>
        </w:rPr>
        <w:t>Te neni 5 i rregullores bazë, në fund të paragrafit  5.1 fjal</w:t>
      </w:r>
      <w:r>
        <w:rPr>
          <w:bCs/>
        </w:rPr>
        <w:t>i</w:t>
      </w:r>
      <w:r w:rsidRPr="006A610D">
        <w:rPr>
          <w:bCs/>
        </w:rPr>
        <w:t>a “të përcaktuar me ligj” fshihet dhe shtohet fjal</w:t>
      </w:r>
      <w:r>
        <w:rPr>
          <w:bCs/>
        </w:rPr>
        <w:t>i</w:t>
      </w:r>
      <w:r w:rsidRPr="006A610D">
        <w:rPr>
          <w:bCs/>
        </w:rPr>
        <w:t>a “prej 60 ditësh) dhe te paragrafi 5.2 numri “30” zëvendësohet me numrin “15”.</w:t>
      </w:r>
    </w:p>
    <w:p w:rsidR="00F44CA6" w:rsidRPr="007E52F9" w:rsidRDefault="00F44CA6" w:rsidP="00BE7DC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7E52F9">
        <w:rPr>
          <w:bCs/>
        </w:rPr>
        <w:t>Te neni 6 i rregullores bazë, paragrafi 1 riformulohet dhe ka këtë përmbajtje si në vijim ”</w:t>
      </w:r>
      <w:r w:rsidRPr="007E52F9">
        <w:t>Në pajtim me nenin 68.1 të Li</w:t>
      </w:r>
      <w:r>
        <w:t>gjit për  Vetëqeverisje</w:t>
      </w:r>
      <w:r w:rsidRPr="007E52F9">
        <w:t xml:space="preserve"> Lokale, dispozitave të Statutit të Komunës  dhe të dispozitave përkatëse</w:t>
      </w:r>
      <w:r>
        <w:t xml:space="preserve"> të</w:t>
      </w:r>
      <w:r w:rsidRPr="007E52F9">
        <w:t xml:space="preserve"> kësaj rregulloreje, Komuna detyrimisht mban</w:t>
      </w:r>
      <w:r>
        <w:t>ë</w:t>
      </w:r>
      <w:r w:rsidRPr="007E52F9">
        <w:t xml:space="preserve"> të paktën dy tubime me publikun për çështje të interesit të përgjithshëm”.</w:t>
      </w:r>
    </w:p>
    <w:p w:rsidR="00F44CA6" w:rsidRPr="006A610D" w:rsidRDefault="00F44CA6" w:rsidP="00462ADF">
      <w:pPr>
        <w:autoSpaceDE w:val="0"/>
        <w:autoSpaceDN w:val="0"/>
        <w:adjustRightInd w:val="0"/>
        <w:jc w:val="center"/>
        <w:rPr>
          <w:b/>
          <w:bCs/>
        </w:rPr>
      </w:pPr>
    </w:p>
    <w:p w:rsidR="00F44CA6" w:rsidRPr="006A610D" w:rsidRDefault="00F44CA6" w:rsidP="00462ADF">
      <w:pPr>
        <w:autoSpaceDE w:val="0"/>
        <w:autoSpaceDN w:val="0"/>
        <w:adjustRightInd w:val="0"/>
        <w:jc w:val="center"/>
        <w:rPr>
          <w:b/>
          <w:bCs/>
        </w:rPr>
      </w:pPr>
      <w:r w:rsidRPr="006A610D">
        <w:rPr>
          <w:b/>
          <w:bCs/>
        </w:rPr>
        <w:t>Neni 2</w:t>
      </w:r>
    </w:p>
    <w:p w:rsidR="00F44CA6" w:rsidRPr="006A610D" w:rsidRDefault="00F44CA6" w:rsidP="00F06330">
      <w:pPr>
        <w:autoSpaceDE w:val="0"/>
        <w:autoSpaceDN w:val="0"/>
        <w:adjustRightInd w:val="0"/>
        <w:jc w:val="center"/>
        <w:rPr>
          <w:b/>
          <w:bCs/>
        </w:rPr>
      </w:pPr>
      <w:r w:rsidRPr="006A610D">
        <w:rPr>
          <w:b/>
          <w:bCs/>
        </w:rPr>
        <w:t>Hyrja në fuqi</w:t>
      </w:r>
    </w:p>
    <w:p w:rsidR="00F44CA6" w:rsidRPr="006A610D" w:rsidRDefault="00F44CA6" w:rsidP="00F06330">
      <w:pPr>
        <w:autoSpaceDE w:val="0"/>
        <w:autoSpaceDN w:val="0"/>
        <w:adjustRightInd w:val="0"/>
        <w:jc w:val="center"/>
        <w:rPr>
          <w:b/>
          <w:bCs/>
        </w:rPr>
      </w:pPr>
    </w:p>
    <w:p w:rsidR="00F44CA6" w:rsidRPr="006A610D" w:rsidRDefault="00F44CA6" w:rsidP="00530D69">
      <w:pPr>
        <w:autoSpaceDE w:val="0"/>
        <w:autoSpaceDN w:val="0"/>
        <w:adjustRightInd w:val="0"/>
        <w:rPr>
          <w:b/>
          <w:bCs/>
        </w:rPr>
      </w:pPr>
      <w:r w:rsidRPr="006A610D">
        <w:t xml:space="preserve">Kjo Rregullore hyn në fuqi 15 ditë pas regjistrimit në Zyrën e protokollit të Ministrisë për Administrimin e Pushtetit Lokal si dhe  pas publikimit në </w:t>
      </w:r>
      <w:proofErr w:type="spellStart"/>
      <w:r w:rsidRPr="006A610D">
        <w:t>web</w:t>
      </w:r>
      <w:proofErr w:type="spellEnd"/>
      <w:r w:rsidRPr="006A610D">
        <w:t xml:space="preserve"> faqen e Komunës</w:t>
      </w:r>
      <w:r w:rsidRPr="006A610D">
        <w:rPr>
          <w:b/>
          <w:bCs/>
        </w:rPr>
        <w:t>.</w:t>
      </w:r>
    </w:p>
    <w:p w:rsidR="00F44CA6" w:rsidRPr="006A610D" w:rsidRDefault="00F44CA6" w:rsidP="00530D69">
      <w:pPr>
        <w:autoSpaceDE w:val="0"/>
        <w:autoSpaceDN w:val="0"/>
        <w:adjustRightInd w:val="0"/>
        <w:rPr>
          <w:b/>
          <w:bCs/>
        </w:rPr>
      </w:pPr>
    </w:p>
    <w:p w:rsidR="00F44CA6" w:rsidRPr="006A610D" w:rsidRDefault="00F44CA6" w:rsidP="00F06330">
      <w:pPr>
        <w:autoSpaceDE w:val="0"/>
        <w:autoSpaceDN w:val="0"/>
        <w:adjustRightInd w:val="0"/>
        <w:jc w:val="center"/>
        <w:rPr>
          <w:b/>
          <w:bCs/>
        </w:rPr>
      </w:pPr>
      <w:r w:rsidRPr="006A610D">
        <w:rPr>
          <w:b/>
          <w:bCs/>
        </w:rPr>
        <w:t>KUVENDI I KOMUNËS – GJILAN</w:t>
      </w:r>
    </w:p>
    <w:p w:rsidR="00F44CA6" w:rsidRPr="006A610D" w:rsidRDefault="00F44CA6" w:rsidP="00F06330">
      <w:pPr>
        <w:autoSpaceDE w:val="0"/>
        <w:autoSpaceDN w:val="0"/>
        <w:adjustRightInd w:val="0"/>
        <w:jc w:val="center"/>
        <w:rPr>
          <w:b/>
          <w:bCs/>
        </w:rPr>
      </w:pPr>
    </w:p>
    <w:p w:rsidR="00F44CA6" w:rsidRPr="006A610D" w:rsidRDefault="00F44CA6" w:rsidP="00F0633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A0"/>
      </w:tblPr>
      <w:tblGrid>
        <w:gridCol w:w="4788"/>
        <w:gridCol w:w="4788"/>
      </w:tblGrid>
      <w:tr w:rsidR="00F44CA6" w:rsidRPr="006A610D" w:rsidTr="00E978C5">
        <w:tc>
          <w:tcPr>
            <w:tcW w:w="4788" w:type="dxa"/>
          </w:tcPr>
          <w:p w:rsidR="00F44CA6" w:rsidRPr="006A610D" w:rsidRDefault="00F44CA6" w:rsidP="00E978C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A610D">
              <w:rPr>
                <w:b/>
                <w:bCs/>
              </w:rPr>
              <w:t xml:space="preserve">Nr. 110 ___                       </w:t>
            </w:r>
          </w:p>
          <w:p w:rsidR="00F44CA6" w:rsidRPr="006A610D" w:rsidRDefault="00F44CA6" w:rsidP="00E978C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A610D">
              <w:rPr>
                <w:b/>
                <w:bCs/>
              </w:rPr>
              <w:t>Gjilan me _____</w:t>
            </w:r>
          </w:p>
          <w:p w:rsidR="00F44CA6" w:rsidRPr="006A610D" w:rsidRDefault="00F44CA6" w:rsidP="00E978C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8" w:type="dxa"/>
          </w:tcPr>
          <w:p w:rsidR="00F44CA6" w:rsidRPr="006A610D" w:rsidRDefault="00F44CA6" w:rsidP="00E978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610D">
              <w:rPr>
                <w:b/>
                <w:bCs/>
                <w:sz w:val="22"/>
                <w:szCs w:val="22"/>
              </w:rPr>
              <w:t xml:space="preserve">KRYESUESJA E KUVENDIT </w:t>
            </w:r>
          </w:p>
          <w:p w:rsidR="00F44CA6" w:rsidRPr="006A610D" w:rsidRDefault="00F44CA6" w:rsidP="00E978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610D">
              <w:rPr>
                <w:b/>
                <w:bCs/>
                <w:sz w:val="22"/>
                <w:szCs w:val="22"/>
              </w:rPr>
              <w:t>_________________________</w:t>
            </w:r>
          </w:p>
          <w:p w:rsidR="00F44CA6" w:rsidRPr="006A610D" w:rsidRDefault="00F44CA6" w:rsidP="00E978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6A610D">
              <w:rPr>
                <w:b/>
                <w:bCs/>
              </w:rPr>
              <w:t>Valentina</w:t>
            </w:r>
            <w:proofErr w:type="spellEnd"/>
            <w:r w:rsidRPr="006A610D">
              <w:rPr>
                <w:b/>
                <w:bCs/>
              </w:rPr>
              <w:t xml:space="preserve"> </w:t>
            </w:r>
            <w:proofErr w:type="spellStart"/>
            <w:r w:rsidRPr="006A610D">
              <w:rPr>
                <w:b/>
                <w:bCs/>
              </w:rPr>
              <w:t>Bunjaku</w:t>
            </w:r>
            <w:proofErr w:type="spellEnd"/>
            <w:r w:rsidRPr="006A610D">
              <w:rPr>
                <w:b/>
                <w:bCs/>
              </w:rPr>
              <w:t xml:space="preserve"> -Rexhepi</w:t>
            </w:r>
          </w:p>
        </w:tc>
      </w:tr>
    </w:tbl>
    <w:p w:rsidR="00F44CA6" w:rsidRDefault="00F44CA6" w:rsidP="001C5A30">
      <w:pPr>
        <w:autoSpaceDE w:val="0"/>
        <w:autoSpaceDN w:val="0"/>
        <w:adjustRightInd w:val="0"/>
        <w:rPr>
          <w:b/>
          <w:bCs/>
        </w:rPr>
      </w:pPr>
    </w:p>
    <w:p w:rsidR="00A44870" w:rsidRPr="000F1D6A" w:rsidRDefault="00F56835" w:rsidP="00A448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1D6A">
        <w:rPr>
          <w:sz w:val="28"/>
          <w:szCs w:val="28"/>
        </w:rPr>
        <w:lastRenderedPageBreak/>
        <w:t>Duke pasur p</w:t>
      </w:r>
      <w:r w:rsidR="00C205DA" w:rsidRPr="000F1D6A">
        <w:rPr>
          <w:sz w:val="28"/>
          <w:szCs w:val="28"/>
        </w:rPr>
        <w:t xml:space="preserve">arasysh se është nxjerrë udhëzimi administrativ nr. 05/2013 për transparencë në komuna </w:t>
      </w:r>
      <w:r w:rsidR="000F0004">
        <w:rPr>
          <w:sz w:val="28"/>
          <w:szCs w:val="28"/>
        </w:rPr>
        <w:t xml:space="preserve">që </w:t>
      </w:r>
      <w:r w:rsidR="00C205DA" w:rsidRPr="000F1D6A">
        <w:rPr>
          <w:sz w:val="28"/>
          <w:szCs w:val="28"/>
        </w:rPr>
        <w:t>në nenin 9 të saj përcaktohet obligimi për Kuvendin e Komunës që të miraton rregulloren komunale për transparencë në</w:t>
      </w:r>
      <w:r w:rsidR="00A44870" w:rsidRPr="000F1D6A">
        <w:rPr>
          <w:sz w:val="28"/>
          <w:szCs w:val="28"/>
        </w:rPr>
        <w:t xml:space="preserve"> K</w:t>
      </w:r>
      <w:r w:rsidR="00C205DA" w:rsidRPr="000F1D6A">
        <w:rPr>
          <w:sz w:val="28"/>
          <w:szCs w:val="28"/>
        </w:rPr>
        <w:t xml:space="preserve">omunë. </w:t>
      </w:r>
    </w:p>
    <w:p w:rsidR="00A44870" w:rsidRPr="000F1D6A" w:rsidRDefault="00A44870" w:rsidP="00A448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4870" w:rsidRPr="000F1D6A" w:rsidRDefault="00A44870" w:rsidP="00A448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1D6A">
        <w:rPr>
          <w:sz w:val="28"/>
          <w:szCs w:val="28"/>
        </w:rPr>
        <w:t>Në kuptim të kësaj Kryetari i Komunës në pajtim me nenin 58 pika h) dhe në zbatim të</w:t>
      </w:r>
      <w:r w:rsidR="00997A94">
        <w:rPr>
          <w:sz w:val="28"/>
          <w:szCs w:val="28"/>
        </w:rPr>
        <w:t xml:space="preserve"> nenit 17 pika s) të Ligjit për </w:t>
      </w:r>
      <w:r w:rsidRPr="000F1D6A">
        <w:rPr>
          <w:sz w:val="28"/>
          <w:szCs w:val="28"/>
        </w:rPr>
        <w:t xml:space="preserve">Vetëqeverisjen Lokale, inicion dhe i propozon Kuvendit të Komunës që të miratoj </w:t>
      </w:r>
    </w:p>
    <w:p w:rsidR="00A44870" w:rsidRPr="000F1D6A" w:rsidRDefault="00A44870" w:rsidP="00F568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4870" w:rsidRPr="000F1D6A" w:rsidRDefault="00A44870" w:rsidP="00A448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1D6A">
        <w:rPr>
          <w:b/>
          <w:bCs/>
          <w:sz w:val="28"/>
          <w:szCs w:val="28"/>
        </w:rPr>
        <w:t>RREGULLOREN</w:t>
      </w:r>
    </w:p>
    <w:p w:rsidR="00A44870" w:rsidRPr="000F1D6A" w:rsidRDefault="00A44870" w:rsidP="00A448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1D6A">
        <w:rPr>
          <w:b/>
          <w:bCs/>
          <w:sz w:val="28"/>
          <w:szCs w:val="28"/>
        </w:rPr>
        <w:t xml:space="preserve">PËR NDRYSHIMIN DHE PLOTËSIMIN E RREGULLORES PËR </w:t>
      </w:r>
    </w:p>
    <w:p w:rsidR="00A44870" w:rsidRPr="000F1D6A" w:rsidRDefault="00A44870" w:rsidP="00A448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1D6A">
        <w:rPr>
          <w:b/>
          <w:bCs/>
          <w:sz w:val="28"/>
          <w:szCs w:val="28"/>
        </w:rPr>
        <w:t>TRANSPARENCË NË KOMUNËN E  GJILANIT 01 NR. 2681 DT. 12.03.2008</w:t>
      </w:r>
    </w:p>
    <w:p w:rsidR="00A44870" w:rsidRPr="000F1D6A" w:rsidRDefault="00A44870" w:rsidP="00A448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6835" w:rsidRPr="000F1D6A" w:rsidRDefault="00F56835" w:rsidP="00F568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6835" w:rsidRPr="000F1D6A" w:rsidRDefault="00F56835" w:rsidP="00A448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1D6A">
        <w:rPr>
          <w:sz w:val="28"/>
          <w:szCs w:val="28"/>
        </w:rPr>
        <w:t xml:space="preserve">Qëllimi i miratimit të kësaj projekt-rregulloreje </w:t>
      </w:r>
      <w:r w:rsidR="00A44870" w:rsidRPr="000F1D6A">
        <w:rPr>
          <w:sz w:val="28"/>
          <w:szCs w:val="28"/>
        </w:rPr>
        <w:t>është harmonizimi i rregullores aktuale me udhëzimin</w:t>
      </w:r>
      <w:r w:rsidR="000F0004">
        <w:rPr>
          <w:sz w:val="28"/>
          <w:szCs w:val="28"/>
        </w:rPr>
        <w:t xml:space="preserve"> administrativ nr. 05/2013 për T</w:t>
      </w:r>
      <w:r w:rsidR="00A44870" w:rsidRPr="000F1D6A">
        <w:rPr>
          <w:sz w:val="28"/>
          <w:szCs w:val="28"/>
        </w:rPr>
        <w:t xml:space="preserve">ransparencë në </w:t>
      </w:r>
      <w:r w:rsidR="000F0004">
        <w:rPr>
          <w:sz w:val="28"/>
          <w:szCs w:val="28"/>
        </w:rPr>
        <w:t>K</w:t>
      </w:r>
      <w:r w:rsidR="00A44870" w:rsidRPr="000F1D6A">
        <w:rPr>
          <w:sz w:val="28"/>
          <w:szCs w:val="28"/>
        </w:rPr>
        <w:t>omuna dhe harmonizimet kanë të bëjnë me nenet si n</w:t>
      </w:r>
      <w:r w:rsidR="000F0004">
        <w:rPr>
          <w:sz w:val="28"/>
          <w:szCs w:val="28"/>
        </w:rPr>
        <w:t>ë</w:t>
      </w:r>
      <w:r w:rsidR="00A44870" w:rsidRPr="000F1D6A">
        <w:rPr>
          <w:sz w:val="28"/>
          <w:szCs w:val="28"/>
        </w:rPr>
        <w:t xml:space="preserve"> vijim:</w:t>
      </w:r>
    </w:p>
    <w:p w:rsidR="00A44870" w:rsidRPr="000F1D6A" w:rsidRDefault="00A44870" w:rsidP="00A448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628" w:rsidRPr="000F1D6A" w:rsidRDefault="00A44870" w:rsidP="00537157">
      <w:pPr>
        <w:pStyle w:val="Heading3"/>
        <w:numPr>
          <w:ilvl w:val="0"/>
          <w:numId w:val="10"/>
        </w:numPr>
        <w:shd w:val="clear" w:color="auto" w:fill="FFFFFF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0F1D6A">
        <w:rPr>
          <w:rFonts w:ascii="Times New Roman" w:hAnsi="Times New Roman"/>
          <w:b w:val="0"/>
          <w:sz w:val="28"/>
          <w:szCs w:val="28"/>
        </w:rPr>
        <w:t xml:space="preserve">Në të gjitha nenet e </w:t>
      </w:r>
      <w:r w:rsidR="000F0004" w:rsidRPr="000F1D6A">
        <w:rPr>
          <w:rFonts w:ascii="Times New Roman" w:hAnsi="Times New Roman"/>
          <w:b w:val="0"/>
          <w:sz w:val="28"/>
          <w:szCs w:val="28"/>
        </w:rPr>
        <w:t>rregullor</w:t>
      </w:r>
      <w:r w:rsidR="000F0004">
        <w:rPr>
          <w:rFonts w:ascii="Times New Roman" w:hAnsi="Times New Roman"/>
          <w:b w:val="0"/>
          <w:sz w:val="28"/>
          <w:szCs w:val="28"/>
        </w:rPr>
        <w:t>e</w:t>
      </w:r>
      <w:r w:rsidR="000F0004" w:rsidRPr="000F1D6A">
        <w:rPr>
          <w:rFonts w:ascii="Times New Roman" w:hAnsi="Times New Roman"/>
          <w:b w:val="0"/>
          <w:sz w:val="28"/>
          <w:szCs w:val="28"/>
        </w:rPr>
        <w:t>s</w:t>
      </w:r>
      <w:r w:rsidRPr="000F1D6A">
        <w:rPr>
          <w:rFonts w:ascii="Times New Roman" w:hAnsi="Times New Roman"/>
          <w:b w:val="0"/>
          <w:sz w:val="28"/>
          <w:szCs w:val="28"/>
        </w:rPr>
        <w:t xml:space="preserve"> bazë, fjalia “dokumente zyrtare” do zëvendësohet me fjalinë “dokumente publike” në harmoni me Kushtetutën e Republikës së Kosovës dhe të </w:t>
      </w:r>
      <w:hyperlink r:id="rId9" w:history="1">
        <w:r w:rsidR="00892023" w:rsidRPr="000F1D6A">
          <w:rPr>
            <w:rStyle w:val="Hyperlink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L</w:t>
        </w:r>
        <w:r w:rsidR="000D2628" w:rsidRPr="000F1D6A">
          <w:rPr>
            <w:rStyle w:val="Hyperlink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igjit nr. </w:t>
        </w:r>
        <w:r w:rsidR="000F0004">
          <w:rPr>
            <w:rStyle w:val="Hyperlink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03/l-215 për q</w:t>
        </w:r>
        <w:r w:rsidR="000F0004" w:rsidRPr="000F1D6A">
          <w:rPr>
            <w:rStyle w:val="Hyperlink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asje</w:t>
        </w:r>
        <w:r w:rsidR="000D2628" w:rsidRPr="000F1D6A">
          <w:rPr>
            <w:rStyle w:val="Hyperlink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në dokumente publike</w:t>
        </w:r>
      </w:hyperlink>
      <w:r w:rsidR="00892023" w:rsidRPr="000F1D6A">
        <w:rPr>
          <w:rFonts w:ascii="Times New Roman" w:hAnsi="Times New Roman"/>
          <w:b w:val="0"/>
          <w:bCs w:val="0"/>
          <w:sz w:val="28"/>
          <w:szCs w:val="28"/>
        </w:rPr>
        <w:t>,</w:t>
      </w:r>
    </w:p>
    <w:p w:rsidR="00A44870" w:rsidRPr="000F1D6A" w:rsidRDefault="00892023" w:rsidP="0089202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F1D6A">
        <w:rPr>
          <w:bCs/>
          <w:sz w:val="28"/>
          <w:szCs w:val="28"/>
        </w:rPr>
        <w:t xml:space="preserve">Të gjitha dokumentet e komunës </w:t>
      </w:r>
      <w:r w:rsidR="00396386">
        <w:rPr>
          <w:bCs/>
          <w:sz w:val="28"/>
          <w:szCs w:val="28"/>
        </w:rPr>
        <w:t xml:space="preserve">për </w:t>
      </w:r>
      <w:r w:rsidRPr="000F1D6A">
        <w:rPr>
          <w:bCs/>
          <w:sz w:val="28"/>
          <w:szCs w:val="28"/>
        </w:rPr>
        <w:t>të cilat mund të jenë në d</w:t>
      </w:r>
      <w:r w:rsidR="00396386">
        <w:rPr>
          <w:bCs/>
          <w:sz w:val="28"/>
          <w:szCs w:val="28"/>
        </w:rPr>
        <w:t>ispozicion të publikut, qasja në to do të bëhet</w:t>
      </w:r>
      <w:r w:rsidR="00A44870" w:rsidRPr="000F1D6A">
        <w:rPr>
          <w:bCs/>
          <w:sz w:val="28"/>
          <w:szCs w:val="28"/>
        </w:rPr>
        <w:t xml:space="preserve"> “përmes zyrtarit të zyrës për informim”.</w:t>
      </w:r>
    </w:p>
    <w:p w:rsidR="00A44870" w:rsidRPr="000F1D6A" w:rsidRDefault="00892023" w:rsidP="0089202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F1D6A">
        <w:rPr>
          <w:bCs/>
          <w:sz w:val="28"/>
          <w:szCs w:val="28"/>
        </w:rPr>
        <w:t>K</w:t>
      </w:r>
      <w:r w:rsidR="00A44870" w:rsidRPr="000F1D6A">
        <w:rPr>
          <w:bCs/>
          <w:sz w:val="28"/>
          <w:szCs w:val="28"/>
        </w:rPr>
        <w:t>ërkes</w:t>
      </w:r>
      <w:r w:rsidRPr="000F1D6A">
        <w:rPr>
          <w:bCs/>
          <w:sz w:val="28"/>
          <w:szCs w:val="28"/>
        </w:rPr>
        <w:t xml:space="preserve">at ose peticionet duhet të shqyrtohen nga Kuvendi i komunës në afat prej 60 ditësh nga dita e dorëzimit në Komunë kurse njoftimi për vendimin e marrë bëhet në afat prej </w:t>
      </w:r>
      <w:r w:rsidR="00A44870" w:rsidRPr="000F1D6A">
        <w:rPr>
          <w:bCs/>
          <w:sz w:val="28"/>
          <w:szCs w:val="28"/>
        </w:rPr>
        <w:t>15</w:t>
      </w:r>
      <w:r w:rsidRPr="000F1D6A">
        <w:rPr>
          <w:bCs/>
          <w:sz w:val="28"/>
          <w:szCs w:val="28"/>
        </w:rPr>
        <w:t xml:space="preserve"> ditësh</w:t>
      </w:r>
      <w:r w:rsidR="00A44870" w:rsidRPr="000F1D6A">
        <w:rPr>
          <w:bCs/>
          <w:sz w:val="28"/>
          <w:szCs w:val="28"/>
        </w:rPr>
        <w:t>.</w:t>
      </w:r>
    </w:p>
    <w:p w:rsidR="00A44870" w:rsidRPr="000F1D6A" w:rsidRDefault="00892023" w:rsidP="00E2060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F1D6A">
        <w:rPr>
          <w:bCs/>
          <w:sz w:val="28"/>
          <w:szCs w:val="28"/>
        </w:rPr>
        <w:t xml:space="preserve">Në pajtim me këtë projekt-rregullore dhe me </w:t>
      </w:r>
      <w:r w:rsidR="00A44870" w:rsidRPr="000F1D6A">
        <w:rPr>
          <w:sz w:val="28"/>
          <w:szCs w:val="28"/>
        </w:rPr>
        <w:t>nenin 68.1 të Ligjit për Vetëqeverisje Lokale, disp</w:t>
      </w:r>
      <w:r w:rsidRPr="000F1D6A">
        <w:rPr>
          <w:sz w:val="28"/>
          <w:szCs w:val="28"/>
        </w:rPr>
        <w:t>ozitave të Statutit të Komunës</w:t>
      </w:r>
      <w:r w:rsidR="00A44870" w:rsidRPr="000F1D6A">
        <w:rPr>
          <w:sz w:val="28"/>
          <w:szCs w:val="28"/>
        </w:rPr>
        <w:t>,</w:t>
      </w:r>
      <w:r w:rsidR="000F0004">
        <w:rPr>
          <w:sz w:val="28"/>
          <w:szCs w:val="28"/>
        </w:rPr>
        <w:t xml:space="preserve"> sanksionohet rregulla që</w:t>
      </w:r>
      <w:r w:rsidR="00A44870" w:rsidRPr="000F1D6A">
        <w:rPr>
          <w:sz w:val="28"/>
          <w:szCs w:val="28"/>
        </w:rPr>
        <w:t xml:space="preserve"> </w:t>
      </w:r>
      <w:r w:rsidR="00A44870" w:rsidRPr="000F0004">
        <w:rPr>
          <w:sz w:val="28"/>
          <w:szCs w:val="28"/>
        </w:rPr>
        <w:t>Komuna detyrimisht mban të paktën dy tubime me publikun për çështje të interesit të përgjithshëm.</w:t>
      </w:r>
    </w:p>
    <w:p w:rsidR="00A44870" w:rsidRPr="000F1D6A" w:rsidRDefault="00A44870" w:rsidP="00A448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6835" w:rsidRPr="000F1D6A" w:rsidRDefault="00F56835" w:rsidP="00E20602">
      <w:pPr>
        <w:jc w:val="both"/>
        <w:rPr>
          <w:b/>
          <w:bCs/>
          <w:sz w:val="28"/>
          <w:szCs w:val="28"/>
        </w:rPr>
      </w:pPr>
      <w:r w:rsidRPr="000F1D6A">
        <w:rPr>
          <w:sz w:val="28"/>
          <w:szCs w:val="28"/>
        </w:rPr>
        <w:t xml:space="preserve">Duke u bazuar në nenin 17 dhe në zbatim të nenit 18 të Statutit të Komunës së Gjilanit 01. nr. 016-126211 të datës 06.11.2014, dhe në zbatim të nenit 4 të Rregullores për Transparencë në Komunë dhe nenit 7 të Udhëzimit Administrativ nr. </w:t>
      </w:r>
      <w:r w:rsidRPr="000F1D6A">
        <w:rPr>
          <w:b/>
          <w:sz w:val="28"/>
          <w:szCs w:val="28"/>
        </w:rPr>
        <w:t>05/2013</w:t>
      </w:r>
      <w:r w:rsidRPr="000F1D6A">
        <w:rPr>
          <w:sz w:val="28"/>
          <w:szCs w:val="28"/>
        </w:rPr>
        <w:t xml:space="preserve"> për Transparencë në Komuna,  është mbajtur </w:t>
      </w:r>
      <w:r w:rsidR="006858A8" w:rsidRPr="000F1D6A">
        <w:rPr>
          <w:sz w:val="28"/>
          <w:szCs w:val="28"/>
        </w:rPr>
        <w:t xml:space="preserve">edhe </w:t>
      </w:r>
      <w:r w:rsidRPr="000F1D6A">
        <w:rPr>
          <w:sz w:val="28"/>
          <w:szCs w:val="28"/>
        </w:rPr>
        <w:t xml:space="preserve">dëgjimi publik </w:t>
      </w:r>
      <w:r w:rsidR="006858A8" w:rsidRPr="000F1D6A">
        <w:rPr>
          <w:sz w:val="28"/>
          <w:szCs w:val="28"/>
        </w:rPr>
        <w:t xml:space="preserve">për këtë projekt- rregullore </w:t>
      </w:r>
      <w:r w:rsidRPr="000F1D6A">
        <w:rPr>
          <w:sz w:val="28"/>
          <w:szCs w:val="28"/>
        </w:rPr>
        <w:t xml:space="preserve">me datën </w:t>
      </w:r>
      <w:r w:rsidRPr="000F1D6A">
        <w:rPr>
          <w:b/>
          <w:sz w:val="28"/>
          <w:szCs w:val="28"/>
        </w:rPr>
        <w:t>10.02.2015 (e martë)</w:t>
      </w:r>
      <w:r w:rsidRPr="000F1D6A">
        <w:rPr>
          <w:sz w:val="28"/>
          <w:szCs w:val="28"/>
        </w:rPr>
        <w:t xml:space="preserve"> </w:t>
      </w:r>
      <w:r w:rsidR="000F0004">
        <w:rPr>
          <w:sz w:val="28"/>
          <w:szCs w:val="28"/>
        </w:rPr>
        <w:t xml:space="preserve"> </w:t>
      </w:r>
      <w:r w:rsidR="000F0004" w:rsidRPr="000F0004">
        <w:rPr>
          <w:b/>
          <w:sz w:val="28"/>
          <w:szCs w:val="28"/>
        </w:rPr>
        <w:t>dhe me dt. 13.02.2015</w:t>
      </w:r>
      <w:r w:rsidR="000F0004">
        <w:rPr>
          <w:sz w:val="28"/>
          <w:szCs w:val="28"/>
        </w:rPr>
        <w:t xml:space="preserve"> (e premte) </w:t>
      </w:r>
      <w:r w:rsidRPr="000F1D6A">
        <w:rPr>
          <w:sz w:val="28"/>
          <w:szCs w:val="28"/>
        </w:rPr>
        <w:t xml:space="preserve">në ora </w:t>
      </w:r>
      <w:r w:rsidRPr="000F1D6A">
        <w:rPr>
          <w:b/>
          <w:sz w:val="28"/>
          <w:szCs w:val="28"/>
        </w:rPr>
        <w:t xml:space="preserve">13:30 </w:t>
      </w:r>
      <w:r w:rsidR="000F0004">
        <w:rPr>
          <w:b/>
          <w:sz w:val="28"/>
          <w:szCs w:val="28"/>
        </w:rPr>
        <w:t xml:space="preserve"> </w:t>
      </w:r>
      <w:r w:rsidRPr="000F1D6A">
        <w:rPr>
          <w:sz w:val="28"/>
          <w:szCs w:val="28"/>
        </w:rPr>
        <w:t xml:space="preserve">me qytetarë, shoqata, grupet të interesit dhe institucione të komunës ku janë evidentuar të gjitha vërejtjet, sugjerimet dhe rekomandimet e </w:t>
      </w:r>
      <w:proofErr w:type="spellStart"/>
      <w:r w:rsidRPr="000F1D6A">
        <w:rPr>
          <w:sz w:val="28"/>
          <w:szCs w:val="28"/>
        </w:rPr>
        <w:t>dalura</w:t>
      </w:r>
      <w:proofErr w:type="spellEnd"/>
      <w:r w:rsidRPr="000F1D6A">
        <w:rPr>
          <w:sz w:val="28"/>
          <w:szCs w:val="28"/>
        </w:rPr>
        <w:t xml:space="preserve"> nga dëgjimi publik. </w:t>
      </w:r>
    </w:p>
    <w:sectPr w:rsidR="00F56835" w:rsidRPr="000F1D6A" w:rsidSect="00160A59">
      <w:footerReference w:type="default" r:id="rId10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14" w:rsidRDefault="00084014" w:rsidP="001C5A30">
      <w:r>
        <w:separator/>
      </w:r>
    </w:p>
  </w:endnote>
  <w:endnote w:type="continuationSeparator" w:id="0">
    <w:p w:rsidR="00084014" w:rsidRDefault="00084014" w:rsidP="001C5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A6" w:rsidRDefault="00104952">
    <w:pPr>
      <w:pStyle w:val="Footer"/>
      <w:jc w:val="right"/>
    </w:pPr>
    <w:fldSimple w:instr=" PAGE   \* MERGEFORMAT ">
      <w:r w:rsidR="00DF462C">
        <w:rPr>
          <w:noProof/>
        </w:rPr>
        <w:t>1</w:t>
      </w:r>
    </w:fldSimple>
  </w:p>
  <w:p w:rsidR="00F44CA6" w:rsidRDefault="00F44C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14" w:rsidRDefault="00084014" w:rsidP="001C5A30">
      <w:r>
        <w:separator/>
      </w:r>
    </w:p>
  </w:footnote>
  <w:footnote w:type="continuationSeparator" w:id="0">
    <w:p w:rsidR="00084014" w:rsidRDefault="00084014" w:rsidP="001C5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B7C"/>
    <w:multiLevelType w:val="hybridMultilevel"/>
    <w:tmpl w:val="8D5A1A12"/>
    <w:lvl w:ilvl="0" w:tplc="A206532E">
      <w:start w:val="1"/>
      <w:numFmt w:val="decimalZero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04962F07"/>
    <w:multiLevelType w:val="multilevel"/>
    <w:tmpl w:val="284680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CC643BB"/>
    <w:multiLevelType w:val="multilevel"/>
    <w:tmpl w:val="E24658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D674FCC"/>
    <w:multiLevelType w:val="hybridMultilevel"/>
    <w:tmpl w:val="ACE083E8"/>
    <w:lvl w:ilvl="0" w:tplc="FE2471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0D40D36"/>
    <w:multiLevelType w:val="hybridMultilevel"/>
    <w:tmpl w:val="38822CCC"/>
    <w:lvl w:ilvl="0" w:tplc="1AEC5A9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898002C"/>
    <w:multiLevelType w:val="hybridMultilevel"/>
    <w:tmpl w:val="C0BA5894"/>
    <w:lvl w:ilvl="0" w:tplc="A6B26C6A">
      <w:start w:val="1"/>
      <w:numFmt w:val="decimalZero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D481555"/>
    <w:multiLevelType w:val="hybridMultilevel"/>
    <w:tmpl w:val="8150633C"/>
    <w:lvl w:ilvl="0" w:tplc="5D32E4A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31C6664"/>
    <w:multiLevelType w:val="hybridMultilevel"/>
    <w:tmpl w:val="03122936"/>
    <w:lvl w:ilvl="0" w:tplc="590EBF5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3D047F9"/>
    <w:multiLevelType w:val="hybridMultilevel"/>
    <w:tmpl w:val="15D8491C"/>
    <w:lvl w:ilvl="0" w:tplc="375642F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ACE0056"/>
    <w:multiLevelType w:val="hybridMultilevel"/>
    <w:tmpl w:val="D77C5340"/>
    <w:lvl w:ilvl="0" w:tplc="3C18BF9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D69"/>
    <w:rsid w:val="000634A4"/>
    <w:rsid w:val="00082829"/>
    <w:rsid w:val="00084014"/>
    <w:rsid w:val="000863B5"/>
    <w:rsid w:val="000C5C05"/>
    <w:rsid w:val="000D2628"/>
    <w:rsid w:val="000F0004"/>
    <w:rsid w:val="000F1D6A"/>
    <w:rsid w:val="00104952"/>
    <w:rsid w:val="00113BD6"/>
    <w:rsid w:val="00160A59"/>
    <w:rsid w:val="00170446"/>
    <w:rsid w:val="001755D5"/>
    <w:rsid w:val="001A0937"/>
    <w:rsid w:val="001A3F7A"/>
    <w:rsid w:val="001C5A30"/>
    <w:rsid w:val="001F639A"/>
    <w:rsid w:val="002100DE"/>
    <w:rsid w:val="00247CEA"/>
    <w:rsid w:val="00247F1B"/>
    <w:rsid w:val="002678F2"/>
    <w:rsid w:val="0029525E"/>
    <w:rsid w:val="002964A8"/>
    <w:rsid w:val="002A3625"/>
    <w:rsid w:val="002E4D4E"/>
    <w:rsid w:val="00320632"/>
    <w:rsid w:val="003775A8"/>
    <w:rsid w:val="003943D4"/>
    <w:rsid w:val="00396386"/>
    <w:rsid w:val="003B702B"/>
    <w:rsid w:val="003D35F8"/>
    <w:rsid w:val="003E6E3B"/>
    <w:rsid w:val="004013D5"/>
    <w:rsid w:val="004260BF"/>
    <w:rsid w:val="00462ADF"/>
    <w:rsid w:val="00487D1C"/>
    <w:rsid w:val="004D6B17"/>
    <w:rsid w:val="004E763B"/>
    <w:rsid w:val="00530D69"/>
    <w:rsid w:val="00537157"/>
    <w:rsid w:val="00567BF8"/>
    <w:rsid w:val="005809C3"/>
    <w:rsid w:val="005A24EF"/>
    <w:rsid w:val="005A25F5"/>
    <w:rsid w:val="005A4C1A"/>
    <w:rsid w:val="005A5491"/>
    <w:rsid w:val="005A6983"/>
    <w:rsid w:val="005A7EFC"/>
    <w:rsid w:val="005E4264"/>
    <w:rsid w:val="00621CEB"/>
    <w:rsid w:val="00635FE4"/>
    <w:rsid w:val="00646698"/>
    <w:rsid w:val="006550AD"/>
    <w:rsid w:val="006858A8"/>
    <w:rsid w:val="006A163E"/>
    <w:rsid w:val="006A610D"/>
    <w:rsid w:val="006D4149"/>
    <w:rsid w:val="006E72D5"/>
    <w:rsid w:val="00741648"/>
    <w:rsid w:val="007606E1"/>
    <w:rsid w:val="0077651D"/>
    <w:rsid w:val="007952DD"/>
    <w:rsid w:val="007D2204"/>
    <w:rsid w:val="007E1C32"/>
    <w:rsid w:val="007E52F9"/>
    <w:rsid w:val="007E5A16"/>
    <w:rsid w:val="007F1A1E"/>
    <w:rsid w:val="008340CD"/>
    <w:rsid w:val="00843354"/>
    <w:rsid w:val="00892023"/>
    <w:rsid w:val="008A720F"/>
    <w:rsid w:val="00996754"/>
    <w:rsid w:val="00997A94"/>
    <w:rsid w:val="009B0F78"/>
    <w:rsid w:val="009F6449"/>
    <w:rsid w:val="00A3486F"/>
    <w:rsid w:val="00A44870"/>
    <w:rsid w:val="00A51DE3"/>
    <w:rsid w:val="00A57D63"/>
    <w:rsid w:val="00AB15C3"/>
    <w:rsid w:val="00AB22A7"/>
    <w:rsid w:val="00AB5A26"/>
    <w:rsid w:val="00AC1A1C"/>
    <w:rsid w:val="00B13D21"/>
    <w:rsid w:val="00B25917"/>
    <w:rsid w:val="00B26348"/>
    <w:rsid w:val="00B62890"/>
    <w:rsid w:val="00B8722E"/>
    <w:rsid w:val="00BA24F8"/>
    <w:rsid w:val="00BE7DC4"/>
    <w:rsid w:val="00C141E1"/>
    <w:rsid w:val="00C205DA"/>
    <w:rsid w:val="00C329A6"/>
    <w:rsid w:val="00C42982"/>
    <w:rsid w:val="00C512BB"/>
    <w:rsid w:val="00C62D66"/>
    <w:rsid w:val="00CA207A"/>
    <w:rsid w:val="00CA225A"/>
    <w:rsid w:val="00CB2A6F"/>
    <w:rsid w:val="00CC5BB4"/>
    <w:rsid w:val="00CC7B86"/>
    <w:rsid w:val="00CF0997"/>
    <w:rsid w:val="00D5013A"/>
    <w:rsid w:val="00D50C5D"/>
    <w:rsid w:val="00D7003C"/>
    <w:rsid w:val="00D95E35"/>
    <w:rsid w:val="00DC2610"/>
    <w:rsid w:val="00DF462C"/>
    <w:rsid w:val="00E02307"/>
    <w:rsid w:val="00E15AF5"/>
    <w:rsid w:val="00E20602"/>
    <w:rsid w:val="00E3666B"/>
    <w:rsid w:val="00E978C5"/>
    <w:rsid w:val="00EA421B"/>
    <w:rsid w:val="00EC3D49"/>
    <w:rsid w:val="00ED3F2B"/>
    <w:rsid w:val="00F06330"/>
    <w:rsid w:val="00F44B9A"/>
    <w:rsid w:val="00F44CA6"/>
    <w:rsid w:val="00F56835"/>
    <w:rsid w:val="00F63072"/>
    <w:rsid w:val="00F65F82"/>
    <w:rsid w:val="00F848DC"/>
    <w:rsid w:val="00F9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B15C3"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24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7D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D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7D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7D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7D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7D63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7D63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7D6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7D63"/>
    <w:rPr>
      <w:rFonts w:ascii="Cambria" w:hAnsi="Cambria" w:cs="Times New Roman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7D63"/>
    <w:rPr>
      <w:rFonts w:ascii="Cambria" w:hAnsi="Cambria" w:cs="Times New Roman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7D63"/>
    <w:rPr>
      <w:rFonts w:ascii="Cambria" w:hAnsi="Cambria" w:cs="Times New Roman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7D63"/>
    <w:rPr>
      <w:rFonts w:ascii="Calibri" w:hAnsi="Calibri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7D63"/>
    <w:rPr>
      <w:rFonts w:ascii="Calibri" w:hAnsi="Calibri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57D63"/>
    <w:rPr>
      <w:rFonts w:ascii="Calibri" w:hAnsi="Calibri" w:cs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57D63"/>
    <w:rPr>
      <w:rFonts w:ascii="Calibri" w:hAnsi="Calibri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57D63"/>
    <w:rPr>
      <w:rFonts w:ascii="Calibri" w:hAnsi="Calibri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57D63"/>
    <w:rPr>
      <w:rFonts w:ascii="Cambria" w:hAnsi="Cambria" w:cs="Times New Roman"/>
      <w:sz w:val="22"/>
      <w:szCs w:val="22"/>
      <w:lang w:val="sq-AL"/>
    </w:rPr>
  </w:style>
  <w:style w:type="paragraph" w:styleId="Caption">
    <w:name w:val="caption"/>
    <w:basedOn w:val="Normal"/>
    <w:next w:val="Normal"/>
    <w:uiPriority w:val="99"/>
    <w:qFormat/>
    <w:rsid w:val="00A57D63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A57D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57D63"/>
    <w:rPr>
      <w:rFonts w:ascii="Cambria" w:hAnsi="Cambria" w:cs="Times New Roman"/>
      <w:b/>
      <w:bCs/>
      <w:kern w:val="28"/>
      <w:sz w:val="32"/>
      <w:szCs w:val="32"/>
      <w:lang w:val="sq-AL"/>
    </w:rPr>
  </w:style>
  <w:style w:type="paragraph" w:styleId="Subtitle">
    <w:name w:val="Subtitle"/>
    <w:basedOn w:val="Normal"/>
    <w:next w:val="Normal"/>
    <w:link w:val="SubtitleChar"/>
    <w:uiPriority w:val="99"/>
    <w:qFormat/>
    <w:rsid w:val="00A57D6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57D63"/>
    <w:rPr>
      <w:rFonts w:ascii="Cambria" w:hAnsi="Cambria" w:cs="Times New Roman"/>
      <w:sz w:val="24"/>
      <w:szCs w:val="24"/>
      <w:lang w:val="sq-AL"/>
    </w:rPr>
  </w:style>
  <w:style w:type="character" w:styleId="Strong">
    <w:name w:val="Strong"/>
    <w:basedOn w:val="DefaultParagraphFont"/>
    <w:uiPriority w:val="99"/>
    <w:qFormat/>
    <w:rsid w:val="00BA24F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57D63"/>
    <w:rPr>
      <w:rFonts w:cs="Times New Roman"/>
      <w:i/>
    </w:rPr>
  </w:style>
  <w:style w:type="paragraph" w:styleId="NoSpacing">
    <w:name w:val="No Spacing"/>
    <w:basedOn w:val="Normal"/>
    <w:link w:val="NoSpacingChar"/>
    <w:uiPriority w:val="99"/>
    <w:qFormat/>
    <w:rsid w:val="00A57D63"/>
  </w:style>
  <w:style w:type="character" w:customStyle="1" w:styleId="NoSpacingChar">
    <w:name w:val="No Spacing Char"/>
    <w:basedOn w:val="DefaultParagraphFont"/>
    <w:link w:val="NoSpacing"/>
    <w:uiPriority w:val="99"/>
    <w:locked/>
    <w:rsid w:val="00A57D63"/>
    <w:rPr>
      <w:rFonts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99"/>
    <w:qFormat/>
    <w:rsid w:val="00BA24F8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57D6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57D63"/>
    <w:rPr>
      <w:rFonts w:cs="Times New Roman"/>
      <w:i/>
      <w:iCs/>
      <w:color w:val="000000"/>
      <w:sz w:val="24"/>
      <w:szCs w:val="24"/>
      <w:lang w:val="sq-AL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57D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57D63"/>
    <w:rPr>
      <w:rFonts w:cs="Times New Roman"/>
      <w:b/>
      <w:bCs/>
      <w:i/>
      <w:iCs/>
      <w:color w:val="4F81BD"/>
      <w:sz w:val="24"/>
      <w:szCs w:val="24"/>
      <w:lang w:val="sq-AL"/>
    </w:rPr>
  </w:style>
  <w:style w:type="character" w:styleId="SubtleEmphasis">
    <w:name w:val="Subtle Emphasis"/>
    <w:basedOn w:val="DefaultParagraphFont"/>
    <w:uiPriority w:val="99"/>
    <w:qFormat/>
    <w:rsid w:val="00A57D63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A57D63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A57D63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A57D63"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57D63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57D6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1F6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39A"/>
    <w:rPr>
      <w:rFonts w:ascii="Tahoma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99"/>
    <w:rsid w:val="00F063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C5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5A30"/>
    <w:rPr>
      <w:rFonts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1C5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5A30"/>
    <w:rPr>
      <w:rFonts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0D26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1&amp;cad=rja&amp;uact=8&amp;ved=0CCAQFjAA&amp;url=https%3A%2F%2Fgzk.rks-gov.net%2FActDetail.aspx%3FActID%3D2724&amp;ei=Na3YVIW0OoWrU6L_g-AG&amp;usg=AFQjCNH_vllSAVVTuBp7TMjtTx0P3TFS7w&amp;bvm=bv.85464276,d.bG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hevzi.matoshi</dc:creator>
  <cp:lastModifiedBy>hevzi.matoshi</cp:lastModifiedBy>
  <cp:revision>28</cp:revision>
  <cp:lastPrinted>2015-02-10T11:46:00Z</cp:lastPrinted>
  <dcterms:created xsi:type="dcterms:W3CDTF">2015-01-23T13:50:00Z</dcterms:created>
  <dcterms:modified xsi:type="dcterms:W3CDTF">2015-04-02T07:34:00Z</dcterms:modified>
</cp:coreProperties>
</file>