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  <w:bookmarkStart w:id="0" w:name="_GoBack"/>
      <w:bookmarkEnd w:id="0"/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  <w:r w:rsidRPr="00A16F0C">
        <w:rPr>
          <w:rFonts w:ascii="Arial" w:hAnsi="Arial" w:cs="Arial"/>
          <w:b/>
          <w:sz w:val="28"/>
          <w:szCs w:val="28"/>
          <w:lang w:val="sq-AL"/>
        </w:rPr>
        <w:t>RAPORTI I PUNËS I KOMISIONIT KOMUNAL TË AKSIONAREVE TË</w:t>
      </w: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  <w:r w:rsidRPr="00A16F0C">
        <w:rPr>
          <w:rFonts w:ascii="Arial" w:hAnsi="Arial" w:cs="Arial"/>
          <w:b/>
          <w:sz w:val="28"/>
          <w:szCs w:val="28"/>
          <w:lang w:val="sq-AL"/>
        </w:rPr>
        <w:t xml:space="preserve"> “ECOHIGJIENA”SHPK- GJILAN </w:t>
      </w: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  <w:r w:rsidRPr="00A16F0C">
        <w:rPr>
          <w:rFonts w:ascii="Arial" w:hAnsi="Arial" w:cs="Arial"/>
          <w:b/>
          <w:sz w:val="28"/>
          <w:szCs w:val="28"/>
          <w:lang w:val="sq-AL"/>
        </w:rPr>
        <w:t>PËR PERIUDHEN JANAR - GUSHT 2018</w:t>
      </w: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jc w:val="center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rPr>
          <w:rFonts w:ascii="Arial" w:hAnsi="Arial" w:cs="Arial"/>
          <w:b/>
          <w:sz w:val="28"/>
          <w:szCs w:val="28"/>
          <w:lang w:val="sq-AL"/>
        </w:rPr>
      </w:pPr>
    </w:p>
    <w:p w:rsidR="00A16F0C" w:rsidRPr="00A16F0C" w:rsidRDefault="00A16F0C" w:rsidP="00A16F0C">
      <w:pPr>
        <w:pStyle w:val="NoSpacing"/>
        <w:numPr>
          <w:ilvl w:val="0"/>
          <w:numId w:val="1"/>
        </w:numPr>
        <w:spacing w:before="100" w:after="100"/>
        <w:ind w:left="0" w:firstLine="360"/>
        <w:jc w:val="both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Bazuar në nenin 5.2 dhe 8.2 të Ligjit për ndërmarrje publike, Nr.03/L – 087, në nenin 39 paragrafi 1.4 të Statutit të Komunës së Gjilanit është emëruar komisioni komunal i Aksionarëve në PPP “Eco-Higjiena” ShPK për pjesën publike të KRM “Higjiena” i cili në bazë të kompetencave dhe përgjegjësive duhet ti siguroj të dhënat kuantitative dhe të qëndrueshme publikut dhe kuvendit komunal mbi ndërmarrjen Eco-Higjiena në interes të komunës.</w:t>
      </w:r>
    </w:p>
    <w:p w:rsidR="00A16F0C" w:rsidRPr="00A16F0C" w:rsidRDefault="00A16F0C" w:rsidP="00A16F0C">
      <w:pPr>
        <w:pStyle w:val="NoSpacing"/>
        <w:spacing w:before="100" w:after="100"/>
        <w:jc w:val="both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Në vazhdën e aktivitetit të kësaj periudhe KKA ka mbajt takime të rregullta për çdo muaj duke i përcjell aktivitet e kompanisë ku me anëtarët e Bordit për pjesën publike jemi munduar që çdo herë të ndihmojmë në ngritjen e cilësisë së shërbimeve për qytetarët dhe ngritjen e afarizmit të kompanisë.</w:t>
      </w:r>
    </w:p>
    <w:p w:rsidR="00A16F0C" w:rsidRPr="00A16F0C" w:rsidRDefault="00A16F0C" w:rsidP="00A16F0C">
      <w:pPr>
        <w:pStyle w:val="NoSpacing"/>
        <w:spacing w:after="100"/>
        <w:jc w:val="both"/>
        <w:rPr>
          <w:rFonts w:ascii="Arial" w:hAnsi="Arial" w:cs="Arial"/>
          <w:lang w:val="sq-AL"/>
        </w:rPr>
      </w:pPr>
    </w:p>
    <w:p w:rsidR="00A16F0C" w:rsidRPr="00A16F0C" w:rsidRDefault="00A16F0C" w:rsidP="00A16F0C">
      <w:pPr>
        <w:pStyle w:val="NoSpacing"/>
        <w:spacing w:after="100"/>
        <w:jc w:val="both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KKA nga Janari deri në Gusht të vitit 2018 gjithsejtë i ka mbajtur 16 takime , ndërsa Bordi i Drejtorëve i ka mbajtur 3 takime.</w:t>
      </w:r>
    </w:p>
    <w:p w:rsidR="00A16F0C" w:rsidRPr="00A16F0C" w:rsidRDefault="00A16F0C" w:rsidP="00A16F0C">
      <w:pPr>
        <w:pStyle w:val="NoSpacing"/>
        <w:spacing w:after="100"/>
        <w:jc w:val="both"/>
        <w:rPr>
          <w:rFonts w:ascii="Arial" w:hAnsi="Arial" w:cs="Arial"/>
          <w:lang w:val="sq-AL"/>
        </w:rPr>
      </w:pPr>
    </w:p>
    <w:p w:rsidR="00A16F0C" w:rsidRPr="00A16F0C" w:rsidRDefault="00A16F0C" w:rsidP="00A16F0C">
      <w:pPr>
        <w:pStyle w:val="NoSpacing"/>
        <w:spacing w:before="100" w:after="100"/>
        <w:jc w:val="both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Takimi i rregullt i kuvendit të aksionareve i caktuar me datë 04.06.2018 është mbajtur pa prezencën e anëtarëve të aksionarëve të pjesës Publike përveç përfaqësuesit të komunës së Kamenicës, në  të cilin takim është nxjerr vendimi për kompensimin e anëtarëve të Bordit i cili ka qenë në shumë mujore pre 300.00 € plus 50.00€ për çdo takim të mbajtur dhe tani është vendosur që të jetë 200.00 € plus 200€ për çdo takim të mbajtur, si dhe është miratuar raporti vjetor i vitit 2017 të Eco-Higjiena ShPK.</w:t>
      </w:r>
    </w:p>
    <w:p w:rsidR="00A16F0C" w:rsidRPr="00A16F0C" w:rsidRDefault="00A16F0C" w:rsidP="00A16F0C">
      <w:pPr>
        <w:pStyle w:val="NoSpacing"/>
        <w:spacing w:after="100"/>
        <w:jc w:val="both"/>
        <w:rPr>
          <w:rFonts w:ascii="Arial" w:hAnsi="Arial" w:cs="Arial"/>
          <w:lang w:val="sq-AL"/>
        </w:rPr>
      </w:pPr>
    </w:p>
    <w:p w:rsidR="00A16F0C" w:rsidRPr="00A16F0C" w:rsidRDefault="00A16F0C" w:rsidP="00A16F0C">
      <w:pPr>
        <w:pStyle w:val="NoSpacing"/>
        <w:spacing w:after="100"/>
        <w:jc w:val="both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 xml:space="preserve">Takimet e Bordit kryesisht kanë qenë të orientuara në punën e gjithëmbarshme të kompanisë duke filluar nga faturimi i klientëve për shërbimet e ofruara, shtimi i klientëve të ri, rritja e numrit të klientëve të faturuar dhe zvogëlimi i klientëve pasiv,  pagesat e shpenzimeve operuese si: pagat e punonjësve, shpenzimet e deponisë, derivateve, mirëmbajtjes dhe tjera, detyrimet ndaj ATK-së, Kompanisë për menaxhimin e deponisë, si dhe pagesat ndaj furnitorëve tjerë. </w:t>
      </w:r>
    </w:p>
    <w:p w:rsidR="00A16F0C" w:rsidRPr="00A16F0C" w:rsidRDefault="00A16F0C" w:rsidP="00A16F0C">
      <w:pPr>
        <w:pStyle w:val="NoSpacing"/>
        <w:spacing w:after="100"/>
        <w:rPr>
          <w:rFonts w:ascii="Arial" w:hAnsi="Arial" w:cs="Arial"/>
          <w:sz w:val="22"/>
          <w:szCs w:val="22"/>
          <w:lang w:val="sq-AL"/>
        </w:rPr>
      </w:pPr>
    </w:p>
    <w:p w:rsidR="00A16F0C" w:rsidRPr="00A16F0C" w:rsidRDefault="00A16F0C" w:rsidP="00A16F0C">
      <w:pPr>
        <w:pStyle w:val="NoSpacing"/>
        <w:rPr>
          <w:rFonts w:ascii="Arial" w:hAnsi="Arial" w:cs="Arial"/>
          <w:sz w:val="22"/>
          <w:szCs w:val="22"/>
          <w:lang w:val="sq-AL"/>
        </w:rPr>
      </w:pPr>
    </w:p>
    <w:p w:rsidR="00A16F0C" w:rsidRPr="00A16F0C" w:rsidRDefault="00A16F0C" w:rsidP="00A16F0C">
      <w:pPr>
        <w:pStyle w:val="NoSpacing"/>
        <w:rPr>
          <w:rFonts w:ascii="Arial" w:hAnsi="Arial" w:cs="Arial"/>
          <w:sz w:val="22"/>
          <w:szCs w:val="22"/>
          <w:lang w:val="sq-AL"/>
        </w:rPr>
      </w:pPr>
    </w:p>
    <w:p w:rsidR="00A16F0C" w:rsidRPr="00A16F0C" w:rsidRDefault="00A16F0C" w:rsidP="00A16F0C">
      <w:pPr>
        <w:pStyle w:val="NoSpacing"/>
        <w:numPr>
          <w:ilvl w:val="0"/>
          <w:numId w:val="1"/>
        </w:numPr>
        <w:jc w:val="center"/>
        <w:rPr>
          <w:rFonts w:ascii="Arial" w:eastAsia="Times New Roman" w:hAnsi="Arial" w:cs="Arial"/>
          <w:b/>
          <w:sz w:val="28"/>
          <w:szCs w:val="28"/>
          <w:lang w:val="sq-AL"/>
        </w:rPr>
      </w:pPr>
      <w:r w:rsidRPr="00A16F0C">
        <w:rPr>
          <w:rFonts w:ascii="Arial" w:eastAsia="Times New Roman" w:hAnsi="Arial" w:cs="Arial"/>
          <w:b/>
          <w:sz w:val="28"/>
          <w:szCs w:val="28"/>
          <w:lang w:val="sq-AL"/>
        </w:rPr>
        <w:lastRenderedPageBreak/>
        <w:t xml:space="preserve">Pasqyra e të ardhurave për Janar-Gusht 2018 për </w:t>
      </w:r>
      <w:r w:rsidRPr="00A16F0C">
        <w:rPr>
          <w:rFonts w:ascii="Arial" w:hAnsi="Arial" w:cs="Arial"/>
          <w:color w:val="000000"/>
          <w:sz w:val="28"/>
          <w:szCs w:val="28"/>
          <w:lang w:val="sq-AL" w:eastAsia="sq-AL"/>
        </w:rPr>
        <w:t>Eco-Higjiena Shpk.</w:t>
      </w:r>
    </w:p>
    <w:tbl>
      <w:tblPr>
        <w:tblW w:w="8827" w:type="dxa"/>
        <w:tblInd w:w="108" w:type="dxa"/>
        <w:tblLook w:val="04A0" w:firstRow="1" w:lastRow="0" w:firstColumn="1" w:lastColumn="0" w:noHBand="0" w:noVBand="1"/>
      </w:tblPr>
      <w:tblGrid>
        <w:gridCol w:w="4220"/>
        <w:gridCol w:w="1501"/>
        <w:gridCol w:w="1073"/>
        <w:gridCol w:w="1073"/>
        <w:gridCol w:w="960"/>
      </w:tblGrid>
      <w:tr w:rsidR="00A16F0C" w:rsidRPr="00A16F0C" w:rsidTr="00A16F0C">
        <w:trPr>
          <w:trHeight w:val="300"/>
        </w:trPr>
        <w:tc>
          <w:tcPr>
            <w:tcW w:w="4220" w:type="dxa"/>
            <w:noWrap/>
            <w:vAlign w:val="bottom"/>
            <w:hideMark/>
          </w:tcPr>
          <w:p w:rsidR="00A16F0C" w:rsidRPr="00A16F0C" w:rsidRDefault="00A16F0C">
            <w:pPr>
              <w:spacing w:after="16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:rsidR="00A16F0C" w:rsidRPr="00A16F0C" w:rsidRDefault="00A16F0C">
            <w:pPr>
              <w:spacing w:after="16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16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16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16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6794" w:type="dxa"/>
            <w:gridSpan w:val="3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Të hyrat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Të hyrat nga grumbullimi i mbeturinave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886409.67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Të hyrat nga tregu Vitia, Kamenice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7045.92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Të hyrat nga komuna Gjilan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76718.87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Të hyrat nga komuna Vitia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Të hyrat tjera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31403.89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   Gjithsej të hyrat pa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1001578.35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Shuma e faturave të lëshuar me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1054278.624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Tonelatat e mbeturinave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21708.48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Numri i klientëve të regjistruar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          39,523   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Numri i klientëve aktive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          21,033 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40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Numri i të punësuarëve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             144</w:t>
            </w:r>
          </w:p>
        </w:tc>
        <w:tc>
          <w:tcPr>
            <w:tcW w:w="1073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404"/>
        </w:trPr>
        <w:tc>
          <w:tcPr>
            <w:tcW w:w="422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pa TVSH</w:t>
            </w:r>
          </w:p>
        </w:tc>
        <w:tc>
          <w:tcPr>
            <w:tcW w:w="1501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2018</w:t>
            </w:r>
          </w:p>
        </w:tc>
        <w:tc>
          <w:tcPr>
            <w:tcW w:w="1073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%</w:t>
            </w:r>
          </w:p>
        </w:tc>
        <w:tc>
          <w:tcPr>
            <w:tcW w:w="1073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Buxheti</w:t>
            </w:r>
          </w:p>
        </w:tc>
        <w:tc>
          <w:tcPr>
            <w:tcW w:w="960" w:type="dxa"/>
            <w:noWrap/>
            <w:vAlign w:val="bottom"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</w:p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%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Kostot e punonjësve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489871.56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56.91%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760000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64.46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e deponitë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116513.42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13.54%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172000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67.74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e karburantit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99393.57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11.55%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68.55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Mirëmbajtjen e makinave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35826.71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4.16%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71.65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Ekspertët e jashtëm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33717.51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3.92%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96.34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Mirëmbajtje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1562.84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0.18%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52.09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Materiale + mjete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8760.13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1.02%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29.20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Komunikimi + IT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8053.59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0.94%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80.54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Aktivet me vlerë të ulëta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2145.43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0.25%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71.51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Marketing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6546.2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0.76%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54.55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Reprezentacionit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1941.53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0.23%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64.72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Shpenzimet e administratës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45699.16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5.31%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76.17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Interesi + shpenzimet ligjore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122.66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0.01%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0.82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Kostot e tjera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8287.71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0.96%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552.51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Diferenca e pa sqaruar ne konton e klientet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2380.13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 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II  Shpenzimet totale pa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860822.15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b/>
                <w:bCs/>
                <w:color w:val="000000"/>
                <w:lang w:val="sq-AL" w:eastAsia="sq-AL"/>
              </w:rPr>
              <w:t>100%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1299500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66.24</w:t>
            </w: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 - II  Fitimi neto i përkohshëm  2018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140756.20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196387.01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215199.09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158488.87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lastRenderedPageBreak/>
              <w:t>Rrjedhje e parës e gatshme</w:t>
            </w:r>
          </w:p>
        </w:tc>
        <w:tc>
          <w:tcPr>
            <w:tcW w:w="1501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Eco-Higjiena Sh.p.k. 2018</w:t>
            </w:r>
          </w:p>
        </w:tc>
        <w:tc>
          <w:tcPr>
            <w:tcW w:w="1501" w:type="dxa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2018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Buxheti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arketime nga grumbullimi i mbeturinave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862242.88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1235000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70%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arketime nga tregu Vitia, Kamenice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8023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67%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arketime nga komuna Gjilan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252389.52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200000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126%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arketime tjera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20601.1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687%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III Gjithsej arketime me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1143256.5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1450000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79%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Gjithsej arketime pa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1058570.83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1342593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79%</w:t>
            </w: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Përqindja e arkëtimit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108%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Te pagueshmet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2018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Pagesat për pagat dhe tarifat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509477.38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Pagesa ndaj ATK per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16264.32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Pagesat ndaj furnitoret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382594.31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Pagesa ndaj ATK per borxhet e vjetra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127287.74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Pagesa ndaj KMDK per kestet mujore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71360.84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Pagesat e investimeve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8582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Kompenzim gjyqsorë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22000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IV  Te pagueshmet totale pa TVSH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1137566.59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  <w:tr w:rsidR="00A16F0C" w:rsidRPr="00A16F0C" w:rsidTr="00A16F0C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 xml:space="preserve">III - IV  Rrjedhës së parasë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6F0C" w:rsidRPr="00A16F0C" w:rsidRDefault="00A16F0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sq-AL" w:eastAsia="sq-AL"/>
              </w:rPr>
            </w:pPr>
            <w:r w:rsidRPr="00A16F0C">
              <w:rPr>
                <w:rFonts w:ascii="Arial" w:hAnsi="Arial" w:cs="Arial"/>
                <w:color w:val="000000"/>
                <w:lang w:val="sq-AL" w:eastAsia="sq-AL"/>
              </w:rPr>
              <w:t>-78995.76</w:t>
            </w: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1073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16F0C" w:rsidRPr="00A16F0C" w:rsidRDefault="00A16F0C">
            <w:pPr>
              <w:spacing w:after="0" w:line="256" w:lineRule="auto"/>
              <w:rPr>
                <w:rFonts w:asciiTheme="minorHAnsi" w:hAnsi="Times New Roman"/>
                <w:lang w:val="sq-AL"/>
              </w:rPr>
            </w:pPr>
          </w:p>
        </w:tc>
      </w:tr>
    </w:tbl>
    <w:p w:rsidR="00A16F0C" w:rsidRPr="00A16F0C" w:rsidRDefault="00A16F0C" w:rsidP="00A16F0C">
      <w:pPr>
        <w:tabs>
          <w:tab w:val="left" w:pos="5985"/>
        </w:tabs>
        <w:rPr>
          <w:rFonts w:ascii="Arial" w:hAnsi="Arial" w:cs="Arial"/>
          <w:sz w:val="20"/>
          <w:szCs w:val="20"/>
          <w:lang w:val="sq-AL"/>
        </w:rPr>
      </w:pPr>
    </w:p>
    <w:p w:rsidR="00A16F0C" w:rsidRPr="00A16F0C" w:rsidRDefault="00A16F0C" w:rsidP="00A16F0C">
      <w:pPr>
        <w:tabs>
          <w:tab w:val="left" w:pos="5985"/>
        </w:tabs>
        <w:rPr>
          <w:rFonts w:ascii="Arial" w:hAnsi="Arial" w:cs="Arial"/>
          <w:sz w:val="20"/>
          <w:szCs w:val="20"/>
          <w:lang w:val="sq-AL"/>
        </w:rPr>
      </w:pPr>
    </w:p>
    <w:p w:rsidR="00A16F0C" w:rsidRPr="00A16F0C" w:rsidRDefault="00A16F0C" w:rsidP="00A16F0C">
      <w:pPr>
        <w:pStyle w:val="ListParagraph"/>
        <w:tabs>
          <w:tab w:val="left" w:pos="5985"/>
        </w:tabs>
        <w:ind w:left="360"/>
        <w:jc w:val="both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 xml:space="preserve">III. </w:t>
      </w:r>
      <w:r w:rsidRPr="00A16F0C">
        <w:rPr>
          <w:rFonts w:ascii="Arial" w:hAnsi="Arial" w:cs="Arial"/>
          <w:sz w:val="24"/>
          <w:szCs w:val="24"/>
          <w:lang w:val="sq-AL"/>
        </w:rPr>
        <w:t>KKA në kontunuitet të vazhdueshëm ka qenë që të siguroj mbështetjen e bazës ligjore për ushtrimin e veprimtarisë afariste të ndërmarrjes së përbashkët dhe është bërë përpjekje maksimale për të promovuar dhe mbrojtur interesa e ndërmarrjes së përbashkët përkatësisht e pjesës publike.</w:t>
      </w:r>
    </w:p>
    <w:p w:rsidR="00A16F0C" w:rsidRPr="00A16F0C" w:rsidRDefault="00A16F0C" w:rsidP="00A16F0C">
      <w:pPr>
        <w:tabs>
          <w:tab w:val="left" w:pos="5985"/>
        </w:tabs>
        <w:ind w:left="360"/>
        <w:jc w:val="both"/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Rentabiliteti i kësaj ndërmarrje do të varej nga respektimi i marrëveshjes së PPP dhe statutit të kësaj ndërmarrje e sidomos respektimi i nenit 5 i PPP, pika b) nënpika (iii) ku thuhet se shuma e investimeve që duhet të realizoj partneri privat sipas planit dinamik do të duhej të investoj për tri vite shumën prej 1.500.000,00 €.</w:t>
      </w:r>
    </w:p>
    <w:p w:rsidR="00A16F0C" w:rsidRPr="00A16F0C" w:rsidRDefault="00A16F0C" w:rsidP="00A16F0C">
      <w:pPr>
        <w:tabs>
          <w:tab w:val="left" w:pos="5985"/>
        </w:tabs>
        <w:ind w:left="360"/>
        <w:jc w:val="both"/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Nëse do të viheshin në pah arsyet e lart cekura për një rentabilitet më të suksesshëm të ndërmarrjes atëherë ndërmarrja do të duhej të fokusohej në arritjen e caqeve të caktuara të cilat janë objektiv i kësaj ndërmarrje si: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Krijimi i kushteve më të mira për punë për punëtorët e kësaj kompanie,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Krijimi i ambientit të pastër për qytetarët,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Rritja e shkallës së arkëtimit,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Për mes të hyrave të mbulohen të gjitha shpenzimet dhe detyrimet,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Shërbimet të kryhen me kohë dhe përgjegjësi,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lastRenderedPageBreak/>
        <w:t>Përfshirja në sistemin e grumbullimit të  mbet</w:t>
      </w:r>
      <w:r>
        <w:rPr>
          <w:rFonts w:ascii="Arial" w:hAnsi="Arial" w:cs="Arial"/>
          <w:sz w:val="24"/>
          <w:szCs w:val="24"/>
          <w:lang w:val="sq-AL"/>
        </w:rPr>
        <w:t>u</w:t>
      </w:r>
      <w:r w:rsidRPr="00A16F0C">
        <w:rPr>
          <w:rFonts w:ascii="Arial" w:hAnsi="Arial" w:cs="Arial"/>
          <w:sz w:val="24"/>
          <w:szCs w:val="24"/>
          <w:lang w:val="sq-AL"/>
        </w:rPr>
        <w:t>rinave të fshatrave dhe hapësirave publike,</w:t>
      </w:r>
    </w:p>
    <w:p w:rsidR="00A16F0C" w:rsidRPr="00A16F0C" w:rsidRDefault="00A16F0C" w:rsidP="00A16F0C">
      <w:pPr>
        <w:pStyle w:val="ListParagraph"/>
        <w:numPr>
          <w:ilvl w:val="0"/>
          <w:numId w:val="2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Ulja e shpenzimeve si: për ekspert të jashtëm, marketing, reprezentacion, administratë dhe shpenzimeve tjera ligjore.</w:t>
      </w:r>
    </w:p>
    <w:p w:rsidR="00A16F0C" w:rsidRPr="00A16F0C" w:rsidRDefault="00A16F0C" w:rsidP="00A16F0C">
      <w:pPr>
        <w:pStyle w:val="ListParagraph"/>
        <w:numPr>
          <w:ilvl w:val="0"/>
          <w:numId w:val="3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Ndërrimi i mekanizmit të vjetruar,</w:t>
      </w:r>
    </w:p>
    <w:p w:rsidR="00A16F0C" w:rsidRPr="00A16F0C" w:rsidRDefault="00A16F0C" w:rsidP="00A16F0C">
      <w:pPr>
        <w:pStyle w:val="ListParagraph"/>
        <w:numPr>
          <w:ilvl w:val="0"/>
          <w:numId w:val="3"/>
        </w:numPr>
        <w:tabs>
          <w:tab w:val="left" w:pos="5985"/>
        </w:tabs>
        <w:rPr>
          <w:rFonts w:ascii="Arial" w:hAnsi="Arial" w:cs="Arial"/>
          <w:sz w:val="24"/>
          <w:szCs w:val="24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Furnizimi i klientëve me kontinier</w:t>
      </w:r>
      <w:r>
        <w:rPr>
          <w:rFonts w:ascii="Arial" w:hAnsi="Arial" w:cs="Arial"/>
          <w:sz w:val="24"/>
          <w:szCs w:val="24"/>
          <w:lang w:val="sq-AL"/>
        </w:rPr>
        <w:t>ë</w:t>
      </w:r>
      <w:r w:rsidRPr="00A16F0C">
        <w:rPr>
          <w:rFonts w:ascii="Arial" w:hAnsi="Arial" w:cs="Arial"/>
          <w:sz w:val="24"/>
          <w:szCs w:val="24"/>
          <w:lang w:val="sq-AL"/>
        </w:rPr>
        <w:t xml:space="preserve"> të ri ,</w:t>
      </w:r>
    </w:p>
    <w:p w:rsidR="00A16F0C" w:rsidRPr="00A16F0C" w:rsidRDefault="00A16F0C" w:rsidP="00A16F0C">
      <w:pPr>
        <w:pStyle w:val="ListParagraph"/>
        <w:numPr>
          <w:ilvl w:val="0"/>
          <w:numId w:val="3"/>
        </w:num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  <w:r w:rsidRPr="00A16F0C">
        <w:rPr>
          <w:rFonts w:ascii="Arial" w:hAnsi="Arial" w:cs="Arial"/>
          <w:sz w:val="24"/>
          <w:szCs w:val="24"/>
          <w:lang w:val="sq-AL"/>
        </w:rPr>
        <w:t>Mundësia e rikontraktimi të kontratës me komunë  për mirëmbajtjen e hapësirave publike,</w:t>
      </w:r>
    </w:p>
    <w:p w:rsidR="00A16F0C" w:rsidRPr="00A16F0C" w:rsidRDefault="00A16F0C" w:rsidP="00A16F0C">
      <w:pPr>
        <w:pStyle w:val="ListParagraph"/>
        <w:numPr>
          <w:ilvl w:val="0"/>
          <w:numId w:val="3"/>
        </w:num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  <w:r w:rsidRPr="00A16F0C">
        <w:rPr>
          <w:rFonts w:ascii="Arial" w:hAnsi="Arial" w:cs="Arial"/>
          <w:sz w:val="24"/>
          <w:szCs w:val="20"/>
          <w:lang w:val="sq-AL"/>
        </w:rPr>
        <w:t>Zvogëlimi i klientëve pasivë,</w:t>
      </w:r>
    </w:p>
    <w:p w:rsidR="00A16F0C" w:rsidRDefault="00A16F0C" w:rsidP="00A16F0C">
      <w:pPr>
        <w:pStyle w:val="ListParagraph"/>
        <w:numPr>
          <w:ilvl w:val="0"/>
          <w:numId w:val="3"/>
        </w:num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  <w:r w:rsidRPr="00A16F0C">
        <w:rPr>
          <w:rFonts w:ascii="Arial" w:hAnsi="Arial" w:cs="Arial"/>
          <w:sz w:val="24"/>
          <w:szCs w:val="20"/>
          <w:lang w:val="sq-AL"/>
        </w:rPr>
        <w:t>Zvogëlimi i detyrimeve  ndaj  ATK-së dhe KMDK-së</w:t>
      </w:r>
    </w:p>
    <w:p w:rsidR="00A16F0C" w:rsidRDefault="00A16F0C" w:rsidP="00A16F0C">
      <w:p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</w:p>
    <w:p w:rsidR="00A16F0C" w:rsidRDefault="00A16F0C" w:rsidP="00A16F0C">
      <w:p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</w:p>
    <w:p w:rsidR="00A16F0C" w:rsidRDefault="00A16F0C" w:rsidP="00A16F0C">
      <w:p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</w:p>
    <w:p w:rsidR="00A16F0C" w:rsidRPr="00A16F0C" w:rsidRDefault="00A16F0C" w:rsidP="00A16F0C">
      <w:pPr>
        <w:tabs>
          <w:tab w:val="left" w:pos="5985"/>
        </w:tabs>
        <w:rPr>
          <w:rFonts w:ascii="Arial" w:hAnsi="Arial" w:cs="Arial"/>
          <w:sz w:val="24"/>
          <w:szCs w:val="20"/>
          <w:lang w:val="sq-AL"/>
        </w:rPr>
      </w:pPr>
    </w:p>
    <w:p w:rsidR="00A16F0C" w:rsidRPr="00A16F0C" w:rsidRDefault="00A16F0C" w:rsidP="00A16F0C">
      <w:pPr>
        <w:rPr>
          <w:rFonts w:ascii="Arial" w:hAnsi="Arial" w:cs="Arial"/>
          <w:lang w:val="sq-AL"/>
        </w:rPr>
      </w:pPr>
    </w:p>
    <w:p w:rsidR="00A16F0C" w:rsidRPr="00A16F0C" w:rsidRDefault="00A16F0C" w:rsidP="00A16F0C">
      <w:pPr>
        <w:spacing w:after="0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Datë 05.10.2018</w:t>
      </w:r>
      <w:r w:rsidRPr="00A16F0C">
        <w:rPr>
          <w:rFonts w:ascii="Arial" w:hAnsi="Arial" w:cs="Arial"/>
          <w:lang w:val="sq-AL"/>
        </w:rPr>
        <w:tab/>
      </w:r>
      <w:r w:rsidRPr="00A16F0C">
        <w:rPr>
          <w:rFonts w:ascii="Arial" w:hAnsi="Arial" w:cs="Arial"/>
          <w:lang w:val="sq-AL"/>
        </w:rPr>
        <w:tab/>
      </w:r>
      <w:r w:rsidRPr="00A16F0C">
        <w:rPr>
          <w:rFonts w:ascii="Arial" w:hAnsi="Arial" w:cs="Arial"/>
          <w:lang w:val="sq-AL"/>
        </w:rPr>
        <w:tab/>
        <w:t xml:space="preserve">              Anëtarët e KKA: </w:t>
      </w:r>
    </w:p>
    <w:p w:rsidR="00A16F0C" w:rsidRPr="00A16F0C" w:rsidRDefault="00A16F0C" w:rsidP="00A16F0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Xhelal Jetishi –Kryesues</w:t>
      </w:r>
    </w:p>
    <w:p w:rsidR="00A16F0C" w:rsidRPr="00A16F0C" w:rsidRDefault="00A16F0C" w:rsidP="00A16F0C">
      <w:pPr>
        <w:pStyle w:val="ListParagraph"/>
        <w:numPr>
          <w:ilvl w:val="0"/>
          <w:numId w:val="4"/>
        </w:numPr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Fadil Gashi- anëtar</w:t>
      </w:r>
    </w:p>
    <w:p w:rsidR="00A16F0C" w:rsidRPr="00A16F0C" w:rsidRDefault="00A16F0C" w:rsidP="00A16F0C">
      <w:pPr>
        <w:pStyle w:val="ListParagraph"/>
        <w:numPr>
          <w:ilvl w:val="0"/>
          <w:numId w:val="4"/>
        </w:numPr>
        <w:rPr>
          <w:rFonts w:ascii="Arial" w:hAnsi="Arial" w:cs="Arial"/>
          <w:lang w:val="sq-AL"/>
        </w:rPr>
      </w:pPr>
      <w:r w:rsidRPr="00A16F0C">
        <w:rPr>
          <w:rFonts w:ascii="Arial" w:hAnsi="Arial" w:cs="Arial"/>
          <w:lang w:val="sq-AL"/>
        </w:rPr>
        <w:t>Muhadin Haziri- anëtar</w:t>
      </w:r>
    </w:p>
    <w:p w:rsidR="00050A80" w:rsidRPr="00A16F0C" w:rsidRDefault="00050A80">
      <w:pPr>
        <w:rPr>
          <w:lang w:val="sq-AL"/>
        </w:rPr>
      </w:pPr>
    </w:p>
    <w:sectPr w:rsidR="00050A80" w:rsidRPr="00A16F0C" w:rsidSect="00C65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D97"/>
    <w:multiLevelType w:val="hybridMultilevel"/>
    <w:tmpl w:val="BC324B9E"/>
    <w:lvl w:ilvl="0" w:tplc="73BA2C10">
      <w:start w:val="1"/>
      <w:numFmt w:val="upperRoman"/>
      <w:lvlText w:val="%1."/>
      <w:lvlJc w:val="left"/>
      <w:pPr>
        <w:ind w:left="1080" w:hanging="72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123"/>
    <w:multiLevelType w:val="hybridMultilevel"/>
    <w:tmpl w:val="FD926992"/>
    <w:lvl w:ilvl="0" w:tplc="4104A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379D"/>
    <w:multiLevelType w:val="hybridMultilevel"/>
    <w:tmpl w:val="FE04AADA"/>
    <w:lvl w:ilvl="0" w:tplc="D2080A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27CBB"/>
    <w:multiLevelType w:val="hybridMultilevel"/>
    <w:tmpl w:val="F8ACA78C"/>
    <w:lvl w:ilvl="0" w:tplc="52283718">
      <w:start w:val="1"/>
      <w:numFmt w:val="decimal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0C"/>
    <w:rsid w:val="00050A80"/>
    <w:rsid w:val="002A7F32"/>
    <w:rsid w:val="002E375F"/>
    <w:rsid w:val="00315B41"/>
    <w:rsid w:val="00A16F0C"/>
    <w:rsid w:val="00B32AF0"/>
    <w:rsid w:val="00C655AB"/>
    <w:rsid w:val="00EB64FB"/>
    <w:rsid w:val="00F6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0C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16F0C"/>
    <w:rPr>
      <w:rFonts w:ascii="Times New Roman" w:eastAsia="SimSun" w:cs="Mangal"/>
      <w:kern w:val="2"/>
      <w:sz w:val="24"/>
      <w:szCs w:val="24"/>
      <w:lang w:val="en-US"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A16F0C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0C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A16F0C"/>
    <w:rPr>
      <w:rFonts w:ascii="Times New Roman" w:eastAsia="SimSun" w:cs="Mangal"/>
      <w:kern w:val="2"/>
      <w:sz w:val="24"/>
      <w:szCs w:val="24"/>
      <w:lang w:val="en-US"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A16F0C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Ilmi Musliu</cp:lastModifiedBy>
  <cp:revision>2</cp:revision>
  <dcterms:created xsi:type="dcterms:W3CDTF">2018-11-01T07:21:00Z</dcterms:created>
  <dcterms:modified xsi:type="dcterms:W3CDTF">2018-11-01T07:21:00Z</dcterms:modified>
</cp:coreProperties>
</file>