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E18" w:rsidRPr="00995171" w:rsidRDefault="00310E18" w:rsidP="00310E18">
      <w:pPr>
        <w:pStyle w:val="Heading6"/>
        <w:rPr>
          <w:rFonts w:ascii="Book Antiqua" w:hAnsi="Book Antiqua"/>
          <w:vanish/>
          <w:sz w:val="32"/>
          <w:specVanish/>
        </w:rPr>
      </w:pPr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E52C7" wp14:editId="442A55FD">
                <wp:simplePos x="0" y="0"/>
                <wp:positionH relativeFrom="column">
                  <wp:posOffset>1028700</wp:posOffset>
                </wp:positionH>
                <wp:positionV relativeFrom="paragraph">
                  <wp:posOffset>171450</wp:posOffset>
                </wp:positionV>
                <wp:extent cx="3429000" cy="9906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E18" w:rsidRDefault="00310E18" w:rsidP="00310E18">
                            <w:pPr>
                              <w:rPr>
                                <w:rFonts w:ascii="Garamond" w:hAnsi="Garamond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310E18" w:rsidRPr="00CC1A42" w:rsidRDefault="00310E18" w:rsidP="00310E18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 w:rsidRPr="00CC1A42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REPUBLIKA E KOSOVËS</w:t>
                            </w:r>
                          </w:p>
                          <w:p w:rsidR="00310E18" w:rsidRPr="00CC1A42" w:rsidRDefault="00310E18" w:rsidP="00310E18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 w:rsidRPr="00CC1A4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REPUBLIKA KOSOVA/REPUBLIC OF KOSOVO</w:t>
                            </w:r>
                          </w:p>
                          <w:p w:rsidR="00310E18" w:rsidRDefault="00310E18" w:rsidP="00310E18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10E18" w:rsidRPr="00CC1A42" w:rsidRDefault="00310E18" w:rsidP="00310E18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 w:rsidRPr="00CC1A42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KOMUNA E GJILANIT</w:t>
                            </w:r>
                          </w:p>
                          <w:p w:rsidR="00310E18" w:rsidRPr="00CC1A42" w:rsidRDefault="00310E18" w:rsidP="00310E18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</w:pPr>
                            <w:r w:rsidRPr="00CC1A42"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  <w:t>OPŠTINA GNJILANE</w:t>
                            </w:r>
                            <w:r w:rsidRPr="00CC1A42"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</w:rPr>
                              <w:t>/MUNICIPAL GJILAN/</w:t>
                            </w:r>
                            <w:r w:rsidRPr="00CC1A42"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  <w:t>GILAN  BELEDIYESI</w:t>
                            </w:r>
                          </w:p>
                          <w:p w:rsidR="00310E18" w:rsidRDefault="00310E18" w:rsidP="00310E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1pt;margin-top:13.5pt;width:270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">
                <v:textbox>
                  <w:txbxContent>
                    <w:p w:rsidR="00310E18" w:rsidRDefault="00310E18" w:rsidP="00310E18">
                      <w:pPr>
                        <w:rPr>
                          <w:rFonts w:ascii="Garamond" w:hAnsi="Garamond"/>
                          <w:b/>
                          <w:sz w:val="2"/>
                          <w:szCs w:val="2"/>
                        </w:rPr>
                      </w:pPr>
                    </w:p>
                    <w:p w:rsidR="00310E18" w:rsidRPr="00CC1A42" w:rsidRDefault="00310E18" w:rsidP="00310E18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 w:rsidRPr="00CC1A42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REPUBLIKA E KOSOVËS</w:t>
                      </w:r>
                    </w:p>
                    <w:p w:rsidR="00310E18" w:rsidRPr="00CC1A42" w:rsidRDefault="00310E18" w:rsidP="00310E18">
                      <w:pPr>
                        <w:jc w:val="center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 w:rsidRPr="00CC1A4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REPUBLIKA KOSOVA/REPUBLIC OF KOSOVO</w:t>
                      </w:r>
                    </w:p>
                    <w:p w:rsidR="00310E18" w:rsidRDefault="00310E18" w:rsidP="00310E18">
                      <w:pPr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</w:p>
                    <w:p w:rsidR="00310E18" w:rsidRPr="00CC1A42" w:rsidRDefault="00310E18" w:rsidP="00310E18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 w:rsidRPr="00CC1A42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KOMUNA E GJILANIT</w:t>
                      </w:r>
                    </w:p>
                    <w:p w:rsidR="00310E18" w:rsidRPr="00CC1A42" w:rsidRDefault="00310E18" w:rsidP="00310E18">
                      <w:pPr>
                        <w:jc w:val="center"/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</w:pPr>
                      <w:r w:rsidRPr="00CC1A42"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  <w:t>OPŠTINA GNJILANE</w:t>
                      </w:r>
                      <w:r w:rsidRPr="00CC1A42">
                        <w:rPr>
                          <w:rFonts w:ascii="Palatino Linotype" w:hAnsi="Palatino Linotype"/>
                          <w:b/>
                          <w:bCs/>
                          <w:sz w:val="20"/>
                          <w:szCs w:val="20"/>
                        </w:rPr>
                        <w:t>/MUNICIPAL GJILAN/</w:t>
                      </w:r>
                      <w:r w:rsidRPr="00CC1A42"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  <w:t>GILAN  BELEDIYESI</w:t>
                      </w:r>
                    </w:p>
                    <w:p w:rsidR="00310E18" w:rsidRDefault="00310E18" w:rsidP="00310E18"/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noProof/>
          <w:lang w:eastAsia="sq-AL"/>
        </w:rPr>
        <w:drawing>
          <wp:inline distT="0" distB="0" distL="0" distR="0" wp14:anchorId="27319F82" wp14:editId="35C0F47A">
            <wp:extent cx="914400" cy="1047750"/>
            <wp:effectExtent l="0" t="0" r="0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</w:rPr>
        <w:t xml:space="preserve">                                                                                                        </w:t>
      </w:r>
      <w:r>
        <w:rPr>
          <w:rFonts w:ascii="Book Antiqua" w:hAnsi="Book Antiqua"/>
          <w:noProof/>
          <w:lang w:eastAsia="sq-AL"/>
        </w:rPr>
        <w:drawing>
          <wp:inline distT="0" distB="0" distL="0" distR="0" wp14:anchorId="466FB347" wp14:editId="463D8528">
            <wp:extent cx="762000" cy="1028700"/>
            <wp:effectExtent l="0" t="0" r="0" b="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E18" w:rsidRPr="00F6632B" w:rsidRDefault="00310E18" w:rsidP="00310E18">
      <w:pPr>
        <w:jc w:val="center"/>
        <w:rPr>
          <w:b/>
          <w:i/>
        </w:rPr>
      </w:pPr>
    </w:p>
    <w:p w:rsidR="00310E18" w:rsidRPr="00F6632B" w:rsidRDefault="00310E18" w:rsidP="00310E18">
      <w:pPr>
        <w:jc w:val="center"/>
        <w:rPr>
          <w:b/>
          <w:i/>
        </w:rPr>
      </w:pPr>
    </w:p>
    <w:p w:rsidR="00310E18" w:rsidRPr="00F6632B" w:rsidRDefault="00310E18" w:rsidP="00310E18">
      <w:pPr>
        <w:jc w:val="center"/>
        <w:rPr>
          <w:b/>
          <w:i/>
        </w:rPr>
      </w:pPr>
    </w:p>
    <w:p w:rsidR="00310E18" w:rsidRPr="00F6632B" w:rsidRDefault="00310E18" w:rsidP="00310E18">
      <w:pPr>
        <w:jc w:val="center"/>
        <w:rPr>
          <w:b/>
          <w:i/>
        </w:rPr>
      </w:pPr>
    </w:p>
    <w:p w:rsidR="00310E18" w:rsidRPr="00F6632B" w:rsidRDefault="00310E18" w:rsidP="00310E18">
      <w:pPr>
        <w:jc w:val="center"/>
        <w:rPr>
          <w:b/>
          <w:i/>
        </w:rPr>
      </w:pPr>
    </w:p>
    <w:p w:rsidR="00310E18" w:rsidRPr="00F6632B" w:rsidRDefault="00310E18" w:rsidP="00310E18">
      <w:pPr>
        <w:jc w:val="center"/>
        <w:rPr>
          <w:b/>
          <w:i/>
        </w:rPr>
      </w:pPr>
    </w:p>
    <w:p w:rsidR="00310E18" w:rsidRPr="00F6632B" w:rsidRDefault="00310E18" w:rsidP="00310E18">
      <w:pPr>
        <w:jc w:val="center"/>
        <w:rPr>
          <w:b/>
          <w:i/>
        </w:rPr>
      </w:pPr>
    </w:p>
    <w:p w:rsidR="00310E18" w:rsidRPr="00F6632B" w:rsidRDefault="00310E18" w:rsidP="00310E18">
      <w:pPr>
        <w:jc w:val="center"/>
        <w:rPr>
          <w:b/>
          <w:i/>
        </w:rPr>
      </w:pPr>
    </w:p>
    <w:p w:rsidR="00310E18" w:rsidRDefault="00310E18" w:rsidP="00310E18">
      <w:pPr>
        <w:jc w:val="center"/>
        <w:rPr>
          <w:b/>
          <w:i/>
        </w:rPr>
      </w:pPr>
    </w:p>
    <w:p w:rsidR="004220B8" w:rsidRDefault="004220B8" w:rsidP="00310E18">
      <w:pPr>
        <w:jc w:val="center"/>
        <w:rPr>
          <w:b/>
          <w:i/>
        </w:rPr>
      </w:pPr>
    </w:p>
    <w:p w:rsidR="00310E18" w:rsidRDefault="00310E18" w:rsidP="00310E18">
      <w:pPr>
        <w:jc w:val="center"/>
        <w:rPr>
          <w:b/>
          <w:i/>
        </w:rPr>
      </w:pPr>
    </w:p>
    <w:p w:rsidR="00310E18" w:rsidRPr="00F6632B" w:rsidRDefault="00310E18" w:rsidP="00310E18">
      <w:pPr>
        <w:jc w:val="center"/>
        <w:rPr>
          <w:b/>
          <w:i/>
        </w:rPr>
      </w:pPr>
    </w:p>
    <w:p w:rsidR="00310E18" w:rsidRPr="00371EB2" w:rsidRDefault="00310E18" w:rsidP="00310E18">
      <w:pPr>
        <w:jc w:val="center"/>
        <w:rPr>
          <w:b/>
          <w:bCs/>
          <w:sz w:val="36"/>
          <w:szCs w:val="36"/>
          <w:lang w:val="de-DE"/>
        </w:rPr>
      </w:pPr>
      <w:r>
        <w:rPr>
          <w:b/>
          <w:bCs/>
          <w:sz w:val="36"/>
          <w:szCs w:val="36"/>
        </w:rPr>
        <w:t xml:space="preserve">PRAVILNIK O POREZU  NA NEPOKRETNU  IMOVINU ZA 2019 GODINU </w:t>
      </w:r>
    </w:p>
    <w:p w:rsidR="00310E18" w:rsidRPr="00F6632B" w:rsidRDefault="00310E18" w:rsidP="00310E18"/>
    <w:p w:rsidR="00310E18" w:rsidRPr="00F6632B" w:rsidRDefault="00310E18" w:rsidP="00310E18"/>
    <w:p w:rsidR="00310E18" w:rsidRPr="00F6632B" w:rsidRDefault="00310E18" w:rsidP="00310E18"/>
    <w:p w:rsidR="00310E18" w:rsidRPr="00F6632B" w:rsidRDefault="00310E18" w:rsidP="00310E18"/>
    <w:p w:rsidR="00310E18" w:rsidRPr="00F6632B" w:rsidRDefault="00310E18" w:rsidP="00310E18"/>
    <w:p w:rsidR="00310E18" w:rsidRPr="00F6632B" w:rsidRDefault="00310E18" w:rsidP="00310E18"/>
    <w:p w:rsidR="00310E18" w:rsidRPr="00F6632B" w:rsidRDefault="00310E18" w:rsidP="00310E18"/>
    <w:p w:rsidR="00310E18" w:rsidRPr="00F6632B" w:rsidRDefault="00310E18" w:rsidP="00310E18"/>
    <w:p w:rsidR="00310E18" w:rsidRPr="00F6632B" w:rsidRDefault="00310E18" w:rsidP="00310E18"/>
    <w:p w:rsidR="00310E18" w:rsidRPr="00F6632B" w:rsidRDefault="00310E18" w:rsidP="00310E18"/>
    <w:p w:rsidR="00310E18" w:rsidRPr="00F6632B" w:rsidRDefault="00310E18" w:rsidP="00310E18"/>
    <w:p w:rsidR="00310E18" w:rsidRPr="00F6632B" w:rsidRDefault="00310E18" w:rsidP="00310E18"/>
    <w:p w:rsidR="00310E18" w:rsidRPr="00F6632B" w:rsidRDefault="00310E18" w:rsidP="00310E18"/>
    <w:p w:rsidR="00310E18" w:rsidRPr="00F6632B" w:rsidRDefault="00310E18" w:rsidP="00310E18"/>
    <w:p w:rsidR="00310E18" w:rsidRPr="00F6632B" w:rsidRDefault="00310E18" w:rsidP="00310E18"/>
    <w:p w:rsidR="00310E18" w:rsidRPr="00F6632B" w:rsidRDefault="00310E18" w:rsidP="00310E18"/>
    <w:p w:rsidR="00310E18" w:rsidRPr="00F6632B" w:rsidRDefault="00310E18" w:rsidP="00310E18"/>
    <w:p w:rsidR="00310E18" w:rsidRPr="00F6632B" w:rsidRDefault="00310E18" w:rsidP="00310E18"/>
    <w:p w:rsidR="00310E18" w:rsidRPr="00F6632B" w:rsidRDefault="00310E18" w:rsidP="00310E18"/>
    <w:p w:rsidR="00310E18" w:rsidRPr="00F6632B" w:rsidRDefault="00310E18" w:rsidP="00310E18"/>
    <w:p w:rsidR="00310E18" w:rsidRPr="00F6632B" w:rsidRDefault="00310E18" w:rsidP="00310E18"/>
    <w:p w:rsidR="00310E18" w:rsidRPr="00F6632B" w:rsidRDefault="00310E18" w:rsidP="00310E18"/>
    <w:p w:rsidR="00310E18" w:rsidRPr="00F6632B" w:rsidRDefault="00310E18" w:rsidP="00310E18"/>
    <w:p w:rsidR="00310E18" w:rsidRPr="00F6632B" w:rsidRDefault="00310E18" w:rsidP="00310E18"/>
    <w:p w:rsidR="00310E18" w:rsidRPr="00F6632B" w:rsidRDefault="00310E18" w:rsidP="00310E18"/>
    <w:p w:rsidR="00310E18" w:rsidRPr="00F6632B" w:rsidRDefault="00310E18" w:rsidP="00310E18"/>
    <w:p w:rsidR="00310E18" w:rsidRPr="00371EB2" w:rsidRDefault="00310E18" w:rsidP="00310E18">
      <w:pPr>
        <w:pStyle w:val="Heading2"/>
        <w:jc w:val="left"/>
        <w:rPr>
          <w:sz w:val="28"/>
          <w:szCs w:val="28"/>
        </w:rPr>
      </w:pPr>
      <w:r>
        <w:rPr>
          <w:b w:val="0"/>
          <w:bCs w:val="0"/>
          <w:lang w:val="sq-AL"/>
        </w:rPr>
        <w:t xml:space="preserve">                                                            </w:t>
      </w:r>
      <w:r>
        <w:rPr>
          <w:sz w:val="28"/>
          <w:szCs w:val="28"/>
        </w:rPr>
        <w:t xml:space="preserve">Novembar </w:t>
      </w:r>
      <w:r w:rsidRPr="00371EB2">
        <w:rPr>
          <w:sz w:val="28"/>
          <w:szCs w:val="28"/>
        </w:rPr>
        <w:t>2018</w:t>
      </w:r>
    </w:p>
    <w:p w:rsidR="00310E18" w:rsidRDefault="00310E18" w:rsidP="00310E18">
      <w:pPr>
        <w:jc w:val="center"/>
        <w:rPr>
          <w:b/>
          <w:bCs/>
          <w:i/>
          <w:sz w:val="28"/>
          <w:szCs w:val="28"/>
          <w:lang w:val="de-DE"/>
        </w:rPr>
      </w:pPr>
      <w:r>
        <w:rPr>
          <w:b/>
          <w:bCs/>
          <w:i/>
          <w:sz w:val="28"/>
          <w:szCs w:val="28"/>
          <w:lang w:val="de-DE"/>
        </w:rPr>
        <w:t>Gnjilane</w:t>
      </w:r>
    </w:p>
    <w:p w:rsidR="00310E18" w:rsidRPr="00371EB2" w:rsidRDefault="00310E18" w:rsidP="00310E18">
      <w:pPr>
        <w:jc w:val="center"/>
        <w:rPr>
          <w:b/>
          <w:bCs/>
          <w:i/>
          <w:sz w:val="28"/>
          <w:szCs w:val="28"/>
          <w:lang w:val="de-DE"/>
        </w:rPr>
      </w:pPr>
    </w:p>
    <w:p w:rsidR="007F2DC4" w:rsidRPr="007F2DC4" w:rsidRDefault="00310E18" w:rsidP="007F2DC4">
      <w:pPr>
        <w:jc w:val="both"/>
        <w:rPr>
          <w:b/>
          <w:sz w:val="28"/>
          <w:szCs w:val="28"/>
          <w:lang w:val="hr-HR"/>
        </w:rPr>
      </w:pPr>
      <w:r>
        <w:lastRenderedPageBreak/>
        <w:br/>
      </w:r>
      <w:r w:rsidR="007F2DC4" w:rsidRPr="007F2DC4">
        <w:rPr>
          <w:lang w:val="hr-HR"/>
        </w:rPr>
        <w:t xml:space="preserve">Na osnovu clana 24.2  Zakona o Lokalnoj Samoupravni br.03/L 040 odedaba zakona.03/L-204 o porezu na nepkretnu imovinu i izmenu i dopunu zakona o porezu NI br.04/L-100 i clana 9 Zakona br.03/l-049 o finansijsma lokalne vlasti, Skupstina Opstine Gnjilane na </w:t>
      </w:r>
      <w:r w:rsidR="007F2DC4">
        <w:rPr>
          <w:lang w:val="hr-HR"/>
        </w:rPr>
        <w:t>sednic odrzanoj dana 26.11.2018</w:t>
      </w:r>
      <w:r w:rsidR="007F2DC4" w:rsidRPr="007F2DC4">
        <w:rPr>
          <w:lang w:val="hr-HR"/>
        </w:rPr>
        <w:t>.god, usvojila :</w:t>
      </w:r>
    </w:p>
    <w:p w:rsidR="00310E18" w:rsidRPr="00F6632B" w:rsidRDefault="00310E18" w:rsidP="007F2DC4">
      <w:pPr>
        <w:pStyle w:val="NoSpacing"/>
      </w:pPr>
    </w:p>
    <w:p w:rsidR="00310E18" w:rsidRPr="00310E18" w:rsidRDefault="00310E18" w:rsidP="00310E18">
      <w:pPr>
        <w:pStyle w:val="Heading1"/>
        <w:rPr>
          <w:sz w:val="24"/>
        </w:rPr>
      </w:pPr>
      <w:r>
        <w:rPr>
          <w:sz w:val="24"/>
        </w:rPr>
        <w:t>PRAVILNIK O POREZU NA NEPOKRETNU IMOVINU</w:t>
      </w:r>
    </w:p>
    <w:p w:rsidR="00310E18" w:rsidRPr="004220B8" w:rsidRDefault="004220B8" w:rsidP="004220B8">
      <w:pPr>
        <w:jc w:val="center"/>
        <w:rPr>
          <w:b/>
        </w:rPr>
      </w:pPr>
      <w:r w:rsidRPr="004220B8">
        <w:rPr>
          <w:b/>
        </w:rPr>
        <w:t>ZA 2019 GODINE</w:t>
      </w:r>
    </w:p>
    <w:p w:rsidR="00310E18" w:rsidRPr="00F6632B" w:rsidRDefault="00310E18" w:rsidP="00310E18">
      <w:pPr>
        <w:jc w:val="both"/>
      </w:pPr>
    </w:p>
    <w:p w:rsidR="00310E18" w:rsidRDefault="00310E18" w:rsidP="00310E18">
      <w:pPr>
        <w:jc w:val="center"/>
        <w:rPr>
          <w:b/>
          <w:bCs/>
        </w:rPr>
      </w:pPr>
      <w:r>
        <w:rPr>
          <w:b/>
          <w:bCs/>
        </w:rPr>
        <w:t>Clan 1</w:t>
      </w:r>
    </w:p>
    <w:p w:rsidR="00310E18" w:rsidRPr="00F6632B" w:rsidRDefault="00310E18" w:rsidP="00310E18">
      <w:pPr>
        <w:jc w:val="center"/>
        <w:rPr>
          <w:b/>
          <w:bCs/>
        </w:rPr>
      </w:pPr>
      <w:r>
        <w:rPr>
          <w:b/>
          <w:bCs/>
        </w:rPr>
        <w:t>Poreska baza</w:t>
      </w:r>
    </w:p>
    <w:p w:rsidR="00310E18" w:rsidRPr="00F6632B" w:rsidRDefault="00310E18" w:rsidP="00310E18">
      <w:pPr>
        <w:jc w:val="both"/>
        <w:rPr>
          <w:b/>
          <w:bCs/>
        </w:rPr>
      </w:pPr>
    </w:p>
    <w:p w:rsidR="00310E18" w:rsidRPr="00F6632B" w:rsidRDefault="00310E18" w:rsidP="00310E18">
      <w:pPr>
        <w:pStyle w:val="NoSpacing"/>
      </w:pPr>
      <w:r>
        <w:br/>
      </w:r>
      <w:r>
        <w:rPr>
          <w:shd w:val="clear" w:color="auto" w:fill="FFFFFF"/>
        </w:rPr>
        <w:t>Za 2019. godinu poreske zone i nivoi vrednosti za M2 u opštini Gnjilane odredjuju se kao:</w:t>
      </w:r>
    </w:p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7"/>
        <w:gridCol w:w="711"/>
        <w:gridCol w:w="716"/>
        <w:gridCol w:w="729"/>
        <w:gridCol w:w="705"/>
        <w:gridCol w:w="32"/>
        <w:gridCol w:w="720"/>
        <w:gridCol w:w="720"/>
        <w:gridCol w:w="735"/>
        <w:gridCol w:w="720"/>
        <w:gridCol w:w="720"/>
        <w:gridCol w:w="725"/>
      </w:tblGrid>
      <w:tr w:rsidR="00310E18" w:rsidRPr="00F6632B" w:rsidTr="00105968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E18" w:rsidRPr="006C103E" w:rsidRDefault="00310E18" w:rsidP="00105968">
            <w:pPr>
              <w:pStyle w:val="BodyText2"/>
              <w:jc w:val="left"/>
              <w:rPr>
                <w:bCs/>
                <w:i w:val="0"/>
              </w:rPr>
            </w:pPr>
            <w:r w:rsidRPr="006C103E">
              <w:rPr>
                <w:bCs/>
                <w:i w:val="0"/>
              </w:rPr>
              <w:t>Poreska kategorija</w:t>
            </w:r>
          </w:p>
        </w:tc>
        <w:tc>
          <w:tcPr>
            <w:tcW w:w="361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F6632B" w:rsidRDefault="00310E18" w:rsidP="00105968">
            <w:pPr>
              <w:pStyle w:val="BodyText2"/>
              <w:jc w:val="center"/>
              <w:rPr>
                <w:b w:val="0"/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NIVOI VREDNOSTI ZA M2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Default="00310E18" w:rsidP="00105968">
            <w:pPr>
              <w:pStyle w:val="BodyText2"/>
              <w:jc w:val="center"/>
              <w:rPr>
                <w:b w:val="0"/>
                <w:bCs/>
                <w:i w:val="0"/>
                <w:lang w:val="it-IT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Default="00310E18" w:rsidP="00105968">
            <w:pPr>
              <w:pStyle w:val="BodyText2"/>
              <w:jc w:val="center"/>
              <w:rPr>
                <w:b w:val="0"/>
                <w:bCs/>
                <w:i w:val="0"/>
                <w:lang w:val="it-IT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10E18" w:rsidRDefault="00310E18" w:rsidP="00105968">
            <w:pPr>
              <w:pStyle w:val="BodyText2"/>
              <w:jc w:val="center"/>
              <w:rPr>
                <w:b w:val="0"/>
                <w:bCs/>
                <w:i w:val="0"/>
                <w:lang w:val="it-IT"/>
              </w:rPr>
            </w:pPr>
          </w:p>
        </w:tc>
        <w:tc>
          <w:tcPr>
            <w:tcW w:w="720" w:type="dxa"/>
          </w:tcPr>
          <w:p w:rsidR="00310E18" w:rsidRDefault="00310E18" w:rsidP="00105968">
            <w:pPr>
              <w:pStyle w:val="BodyText2"/>
              <w:jc w:val="center"/>
              <w:rPr>
                <w:b w:val="0"/>
                <w:bCs/>
                <w:i w:val="0"/>
                <w:lang w:val="it-IT"/>
              </w:rPr>
            </w:pPr>
          </w:p>
        </w:tc>
        <w:tc>
          <w:tcPr>
            <w:tcW w:w="725" w:type="dxa"/>
          </w:tcPr>
          <w:p w:rsidR="00310E18" w:rsidRDefault="00310E18" w:rsidP="00105968">
            <w:pPr>
              <w:pStyle w:val="BodyText2"/>
              <w:jc w:val="center"/>
              <w:rPr>
                <w:b w:val="0"/>
                <w:bCs/>
                <w:i w:val="0"/>
                <w:lang w:val="it-IT"/>
              </w:rPr>
            </w:pPr>
          </w:p>
        </w:tc>
      </w:tr>
      <w:tr w:rsidR="00310E18" w:rsidRPr="00F6632B" w:rsidTr="00105968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F6632B" w:rsidRDefault="00310E18" w:rsidP="00105968">
            <w:pPr>
              <w:pStyle w:val="BodyText2"/>
              <w:jc w:val="left"/>
              <w:rPr>
                <w:b w:val="0"/>
                <w:bCs/>
                <w:i w:val="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D03962" w:rsidRDefault="00310E18" w:rsidP="00105968">
            <w:pPr>
              <w:pStyle w:val="BodyText2"/>
              <w:jc w:val="center"/>
              <w:rPr>
                <w:b w:val="0"/>
                <w:bCs/>
                <w:i w:val="0"/>
                <w:sz w:val="20"/>
                <w:szCs w:val="20"/>
                <w:lang w:val="it-IT"/>
              </w:rPr>
            </w:pPr>
            <w:r w:rsidRPr="00D03962">
              <w:rPr>
                <w:bCs/>
                <w:i w:val="0"/>
                <w:sz w:val="20"/>
                <w:szCs w:val="20"/>
                <w:lang w:val="it-IT"/>
              </w:rPr>
              <w:t xml:space="preserve">Zona </w:t>
            </w:r>
            <w:r>
              <w:rPr>
                <w:bCs/>
                <w:i w:val="0"/>
                <w:sz w:val="20"/>
                <w:szCs w:val="20"/>
                <w:lang w:val="it-IT"/>
              </w:rPr>
              <w:t>I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D03962" w:rsidRDefault="00310E18" w:rsidP="00105968">
            <w:pPr>
              <w:pStyle w:val="BodyText2"/>
              <w:jc w:val="center"/>
              <w:rPr>
                <w:b w:val="0"/>
                <w:bCs/>
                <w:i w:val="0"/>
                <w:sz w:val="20"/>
                <w:szCs w:val="20"/>
                <w:lang w:val="it-IT"/>
              </w:rPr>
            </w:pPr>
            <w:r w:rsidRPr="00D03962">
              <w:rPr>
                <w:bCs/>
                <w:i w:val="0"/>
                <w:sz w:val="20"/>
                <w:szCs w:val="20"/>
                <w:lang w:val="it-IT"/>
              </w:rPr>
              <w:t xml:space="preserve">Zona </w:t>
            </w:r>
            <w:r>
              <w:rPr>
                <w:bCs/>
                <w:i w:val="0"/>
                <w:sz w:val="20"/>
                <w:szCs w:val="20"/>
                <w:lang w:val="it-IT"/>
              </w:rPr>
              <w:t>Ia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D03962" w:rsidRDefault="00310E18" w:rsidP="00105968">
            <w:pPr>
              <w:pStyle w:val="BodyText2"/>
              <w:jc w:val="center"/>
              <w:rPr>
                <w:b w:val="0"/>
                <w:bCs/>
                <w:i w:val="0"/>
                <w:sz w:val="20"/>
                <w:szCs w:val="20"/>
                <w:lang w:val="it-IT"/>
              </w:rPr>
            </w:pPr>
            <w:r w:rsidRPr="00D03962">
              <w:rPr>
                <w:bCs/>
                <w:i w:val="0"/>
                <w:sz w:val="20"/>
                <w:szCs w:val="20"/>
                <w:lang w:val="it-IT"/>
              </w:rPr>
              <w:t xml:space="preserve">Zona </w:t>
            </w:r>
            <w:r>
              <w:rPr>
                <w:bCs/>
                <w:i w:val="0"/>
                <w:sz w:val="20"/>
                <w:szCs w:val="20"/>
                <w:lang w:val="it-IT"/>
              </w:rPr>
              <w:t>Ib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D03962" w:rsidRDefault="00310E18" w:rsidP="00105968">
            <w:pPr>
              <w:pStyle w:val="BodyText2"/>
              <w:jc w:val="center"/>
              <w:rPr>
                <w:b w:val="0"/>
                <w:bCs/>
                <w:i w:val="0"/>
                <w:sz w:val="20"/>
                <w:szCs w:val="20"/>
                <w:lang w:val="it-IT"/>
              </w:rPr>
            </w:pPr>
            <w:r w:rsidRPr="00D03962">
              <w:rPr>
                <w:bCs/>
                <w:i w:val="0"/>
                <w:sz w:val="20"/>
                <w:szCs w:val="20"/>
                <w:lang w:val="it-IT"/>
              </w:rPr>
              <w:t xml:space="preserve">Zona </w:t>
            </w:r>
            <w:r>
              <w:rPr>
                <w:bCs/>
                <w:i w:val="0"/>
                <w:sz w:val="20"/>
                <w:szCs w:val="20"/>
                <w:lang w:val="it-IT"/>
              </w:rPr>
              <w:t>II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D03962" w:rsidRDefault="00310E18" w:rsidP="00105968">
            <w:pPr>
              <w:pStyle w:val="BodyText2"/>
              <w:jc w:val="center"/>
              <w:rPr>
                <w:b w:val="0"/>
                <w:bCs/>
                <w:i w:val="0"/>
                <w:sz w:val="20"/>
                <w:szCs w:val="20"/>
              </w:rPr>
            </w:pPr>
            <w:r w:rsidRPr="00D03962">
              <w:rPr>
                <w:bCs/>
                <w:i w:val="0"/>
                <w:sz w:val="20"/>
                <w:szCs w:val="20"/>
                <w:lang w:val="it-IT"/>
              </w:rPr>
              <w:t xml:space="preserve">Zona </w:t>
            </w:r>
            <w:r>
              <w:rPr>
                <w:bCs/>
                <w:i w:val="0"/>
                <w:sz w:val="20"/>
                <w:szCs w:val="20"/>
                <w:lang w:val="it-IT"/>
              </w:rPr>
              <w:t>III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D03962" w:rsidRDefault="00310E18" w:rsidP="00105968">
            <w:pPr>
              <w:pStyle w:val="BodyText2"/>
              <w:jc w:val="center"/>
              <w:rPr>
                <w:b w:val="0"/>
                <w:bCs/>
                <w:i w:val="0"/>
                <w:sz w:val="20"/>
                <w:szCs w:val="20"/>
                <w:lang w:val="it-IT"/>
              </w:rPr>
            </w:pPr>
            <w:r w:rsidRPr="00D03962">
              <w:rPr>
                <w:bCs/>
                <w:i w:val="0"/>
                <w:sz w:val="20"/>
                <w:szCs w:val="20"/>
                <w:lang w:val="it-IT"/>
              </w:rPr>
              <w:t xml:space="preserve">Zona </w:t>
            </w:r>
            <w:r>
              <w:rPr>
                <w:bCs/>
                <w:i w:val="0"/>
                <w:sz w:val="20"/>
                <w:szCs w:val="20"/>
                <w:lang w:val="it-IT"/>
              </w:rPr>
              <w:t>IV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D03962" w:rsidRDefault="00310E18" w:rsidP="00105968">
            <w:pPr>
              <w:pStyle w:val="BodyText2"/>
              <w:jc w:val="center"/>
              <w:rPr>
                <w:b w:val="0"/>
                <w:bCs/>
                <w:i w:val="0"/>
                <w:sz w:val="20"/>
                <w:szCs w:val="20"/>
                <w:lang w:val="it-IT"/>
              </w:rPr>
            </w:pPr>
            <w:r w:rsidRPr="00D03962">
              <w:rPr>
                <w:bCs/>
                <w:i w:val="0"/>
                <w:sz w:val="20"/>
                <w:szCs w:val="20"/>
                <w:lang w:val="it-IT"/>
              </w:rPr>
              <w:t xml:space="preserve">Zona </w:t>
            </w:r>
            <w:r>
              <w:rPr>
                <w:bCs/>
                <w:i w:val="0"/>
                <w:sz w:val="20"/>
                <w:szCs w:val="20"/>
                <w:lang w:val="it-IT"/>
              </w:rPr>
              <w:t>V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10E18" w:rsidRPr="00D03962" w:rsidRDefault="00310E18" w:rsidP="00105968">
            <w:pPr>
              <w:pStyle w:val="BodyText2"/>
              <w:jc w:val="center"/>
              <w:rPr>
                <w:b w:val="0"/>
                <w:bCs/>
                <w:i w:val="0"/>
                <w:sz w:val="20"/>
                <w:szCs w:val="20"/>
                <w:lang w:val="it-IT"/>
              </w:rPr>
            </w:pPr>
          </w:p>
        </w:tc>
        <w:tc>
          <w:tcPr>
            <w:tcW w:w="720" w:type="dxa"/>
          </w:tcPr>
          <w:p w:rsidR="00310E18" w:rsidRPr="00D03962" w:rsidRDefault="00310E18" w:rsidP="00105968">
            <w:pPr>
              <w:pStyle w:val="BodyText2"/>
              <w:jc w:val="center"/>
              <w:rPr>
                <w:b w:val="0"/>
                <w:bCs/>
                <w:i w:val="0"/>
                <w:sz w:val="20"/>
                <w:szCs w:val="20"/>
                <w:lang w:val="it-IT"/>
              </w:rPr>
            </w:pPr>
          </w:p>
        </w:tc>
        <w:tc>
          <w:tcPr>
            <w:tcW w:w="725" w:type="dxa"/>
          </w:tcPr>
          <w:p w:rsidR="00310E18" w:rsidRPr="00D03962" w:rsidRDefault="00310E18" w:rsidP="00105968">
            <w:pPr>
              <w:pStyle w:val="BodyText2"/>
              <w:jc w:val="center"/>
              <w:rPr>
                <w:b w:val="0"/>
                <w:bCs/>
                <w:i w:val="0"/>
                <w:sz w:val="20"/>
                <w:szCs w:val="20"/>
                <w:lang w:val="it-IT"/>
              </w:rPr>
            </w:pPr>
          </w:p>
        </w:tc>
      </w:tr>
      <w:tr w:rsidR="00310E18" w:rsidRPr="00F6632B" w:rsidTr="00105968">
        <w:tc>
          <w:tcPr>
            <w:tcW w:w="7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E18" w:rsidRPr="006C103E" w:rsidRDefault="00310E18" w:rsidP="00105968">
            <w:pPr>
              <w:pStyle w:val="BodyText2"/>
              <w:jc w:val="left"/>
              <w:rPr>
                <w:i w:val="0"/>
                <w:highlight w:val="lightGray"/>
              </w:rPr>
            </w:pPr>
            <w:r w:rsidRPr="006C103E">
              <w:rPr>
                <w:i w:val="0"/>
                <w:highlight w:val="lightGray"/>
              </w:rPr>
              <w:t>rezidencijalna imovina</w:t>
            </w:r>
          </w:p>
        </w:tc>
        <w:tc>
          <w:tcPr>
            <w:tcW w:w="2165" w:type="dxa"/>
            <w:gridSpan w:val="3"/>
            <w:tcBorders>
              <w:left w:val="single" w:sz="4" w:space="0" w:color="auto"/>
            </w:tcBorders>
          </w:tcPr>
          <w:p w:rsidR="00310E18" w:rsidRPr="00AD4463" w:rsidRDefault="00310E18" w:rsidP="00105968">
            <w:pPr>
              <w:pStyle w:val="BodyText2"/>
              <w:jc w:val="left"/>
              <w:rPr>
                <w:b w:val="0"/>
                <w:i w:val="0"/>
              </w:rPr>
            </w:pPr>
          </w:p>
        </w:tc>
      </w:tr>
      <w:tr w:rsidR="00310E18" w:rsidRPr="00F6632B" w:rsidTr="00105968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F6632B" w:rsidRDefault="00310E18" w:rsidP="00310E18">
            <w:pPr>
              <w:pStyle w:val="ListParagraph"/>
              <w:numPr>
                <w:ilvl w:val="0"/>
                <w:numId w:val="3"/>
              </w:numPr>
              <w:ind w:left="697"/>
            </w:pPr>
            <w:r>
              <w:t>PORODICNA KUCA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425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390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365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110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5" w:type="dxa"/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</w:tr>
      <w:tr w:rsidR="00310E18" w:rsidRPr="00F6632B" w:rsidTr="00105968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F6632B" w:rsidRDefault="00310E18" w:rsidP="00310E18">
            <w:pPr>
              <w:pStyle w:val="ListParagraph"/>
              <w:numPr>
                <w:ilvl w:val="0"/>
                <w:numId w:val="3"/>
              </w:numPr>
              <w:ind w:left="697"/>
            </w:pPr>
            <w:r>
              <w:t>ApartMAN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470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440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425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5" w:type="dxa"/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</w:tr>
      <w:tr w:rsidR="00310E18" w:rsidRPr="00F6632B" w:rsidTr="00105968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0F63D0" w:rsidRDefault="00310E18" w:rsidP="00310E18">
            <w:pPr>
              <w:pStyle w:val="ListParagraph"/>
              <w:numPr>
                <w:ilvl w:val="0"/>
                <w:numId w:val="3"/>
              </w:numPr>
              <w:ind w:left="697"/>
            </w:pPr>
            <w:r>
              <w:t>GarazA ZA PRIVATNU UPOTREBU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175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tabs>
                <w:tab w:val="left" w:pos="390"/>
              </w:tabs>
              <w:jc w:val="center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140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center"/>
              <w:rPr>
                <w:i w:val="0"/>
              </w:rPr>
            </w:pPr>
            <w:r>
              <w:rPr>
                <w:i w:val="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center"/>
              <w:rPr>
                <w:i w:val="0"/>
              </w:rPr>
            </w:pPr>
            <w:r>
              <w:rPr>
                <w:i w:val="0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center"/>
              <w:rPr>
                <w:i w:val="0"/>
              </w:rPr>
            </w:pPr>
            <w:r>
              <w:rPr>
                <w:i w:val="0"/>
              </w:rPr>
              <w:t>50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center"/>
              <w:rPr>
                <w:i w:val="0"/>
              </w:rPr>
            </w:pPr>
            <w:r>
              <w:rPr>
                <w:i w:val="0"/>
              </w:rPr>
              <w:t>20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5" w:type="dxa"/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</w:tr>
      <w:tr w:rsidR="00310E18" w:rsidRPr="00F6632B" w:rsidTr="00105968">
        <w:trPr>
          <w:trHeight w:val="780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Default="00310E18" w:rsidP="00310E18">
            <w:pPr>
              <w:pStyle w:val="ListParagraph"/>
              <w:numPr>
                <w:ilvl w:val="0"/>
                <w:numId w:val="3"/>
              </w:numPr>
              <w:ind w:left="697"/>
            </w:pPr>
            <w:r>
              <w:t>DRUGI REZIDENCIJALNI OBJEKAT (NAPUSTEN)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50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center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50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center"/>
              <w:rPr>
                <w:i w:val="0"/>
              </w:rPr>
            </w:pPr>
            <w:r>
              <w:rPr>
                <w:i w:val="0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center"/>
              <w:rPr>
                <w:i w:val="0"/>
              </w:rPr>
            </w:pPr>
            <w:r>
              <w:rPr>
                <w:i w:val="0"/>
              </w:rPr>
              <w:t>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center"/>
              <w:rPr>
                <w:i w:val="0"/>
              </w:rPr>
            </w:pPr>
            <w:r>
              <w:rPr>
                <w:i w:val="0"/>
              </w:rPr>
              <w:t>15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Merge w:val="restart"/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5" w:type="dxa"/>
            <w:vMerge w:val="restart"/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</w:tr>
      <w:tr w:rsidR="00310E18" w:rsidRPr="00F6632B" w:rsidTr="00105968">
        <w:trPr>
          <w:trHeight w:val="257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580412" w:rsidRDefault="00310E18" w:rsidP="00310E18">
            <w:pPr>
              <w:pStyle w:val="ListParagraph"/>
              <w:numPr>
                <w:ilvl w:val="0"/>
                <w:numId w:val="3"/>
              </w:numPr>
              <w:ind w:left="697"/>
            </w:pPr>
            <w:r>
              <w:t>NEZAVRSENE IMOVINE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Default="00310E18" w:rsidP="00105968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170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156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Default="00310E18" w:rsidP="00105968">
            <w:pPr>
              <w:pStyle w:val="BodyText2"/>
              <w:jc w:val="center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146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Default="00310E18" w:rsidP="00105968">
            <w:pPr>
              <w:pStyle w:val="BodyText2"/>
              <w:jc w:val="center"/>
              <w:rPr>
                <w:i w:val="0"/>
              </w:rPr>
            </w:pPr>
            <w:r>
              <w:rPr>
                <w:i w:val="0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Default="00310E18" w:rsidP="00105968">
            <w:pPr>
              <w:pStyle w:val="BodyText2"/>
              <w:jc w:val="center"/>
              <w:rPr>
                <w:i w:val="0"/>
              </w:rPr>
            </w:pPr>
            <w:r>
              <w:rPr>
                <w:i w:val="0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Default="00310E18" w:rsidP="00105968">
            <w:pPr>
              <w:pStyle w:val="BodyText2"/>
              <w:jc w:val="center"/>
              <w:rPr>
                <w:i w:val="0"/>
              </w:rPr>
            </w:pPr>
            <w:r>
              <w:rPr>
                <w:i w:val="0"/>
              </w:rPr>
              <w:t>74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Default="00310E18" w:rsidP="00105968">
            <w:pPr>
              <w:pStyle w:val="BodyText2"/>
              <w:jc w:val="center"/>
              <w:rPr>
                <w:i w:val="0"/>
              </w:rPr>
            </w:pPr>
            <w:r>
              <w:rPr>
                <w:i w:val="0"/>
              </w:rPr>
              <w:t>46</w:t>
            </w:r>
          </w:p>
        </w:tc>
        <w:tc>
          <w:tcPr>
            <w:tcW w:w="720" w:type="dxa"/>
            <w:vMerge/>
            <w:tcBorders>
              <w:lef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Merge/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5" w:type="dxa"/>
            <w:vMerge/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</w:tr>
      <w:tr w:rsidR="00310E18" w:rsidRPr="00F6632B" w:rsidTr="00105968"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10E18" w:rsidRPr="00AD4463" w:rsidRDefault="00310E18" w:rsidP="00310E18">
            <w:pPr>
              <w:pStyle w:val="BodyText2"/>
              <w:numPr>
                <w:ilvl w:val="0"/>
                <w:numId w:val="4"/>
              </w:numPr>
              <w:jc w:val="left"/>
              <w:rPr>
                <w:b w:val="0"/>
                <w:i w:val="0"/>
              </w:rPr>
            </w:pPr>
            <w:r>
              <w:rPr>
                <w:i w:val="0"/>
              </w:rPr>
              <w:t xml:space="preserve">KOMERCIJALNA </w:t>
            </w:r>
            <w:r w:rsidRPr="006C103E">
              <w:rPr>
                <w:i w:val="0"/>
              </w:rPr>
              <w:t>IMOVINA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310E18" w:rsidRPr="00AD4463" w:rsidRDefault="00310E18" w:rsidP="00105968">
            <w:pPr>
              <w:pStyle w:val="BodyText2"/>
              <w:jc w:val="left"/>
              <w:rPr>
                <w:b w:val="0"/>
                <w:i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310E18" w:rsidRPr="00AD4463" w:rsidRDefault="00310E18" w:rsidP="00105968">
            <w:pPr>
              <w:pStyle w:val="BodyText2"/>
              <w:jc w:val="left"/>
              <w:rPr>
                <w:b w:val="0"/>
                <w:i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E18" w:rsidRPr="00AD4463" w:rsidRDefault="00310E18" w:rsidP="00105968">
            <w:pPr>
              <w:pStyle w:val="BodyText2"/>
              <w:jc w:val="left"/>
              <w:rPr>
                <w:b w:val="0"/>
                <w:i w:val="0"/>
              </w:rPr>
            </w:pPr>
          </w:p>
        </w:tc>
        <w:tc>
          <w:tcPr>
            <w:tcW w:w="2165" w:type="dxa"/>
            <w:gridSpan w:val="3"/>
            <w:tcBorders>
              <w:left w:val="single" w:sz="4" w:space="0" w:color="auto"/>
            </w:tcBorders>
          </w:tcPr>
          <w:p w:rsidR="00310E18" w:rsidRPr="00AD4463" w:rsidRDefault="00310E18" w:rsidP="00105968">
            <w:pPr>
              <w:pStyle w:val="BodyText2"/>
              <w:jc w:val="left"/>
              <w:rPr>
                <w:b w:val="0"/>
                <w:i w:val="0"/>
              </w:rPr>
            </w:pPr>
          </w:p>
        </w:tc>
      </w:tr>
      <w:tr w:rsidR="00310E18" w:rsidRPr="00F6632B" w:rsidTr="00105968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Default="00310E18" w:rsidP="00310E18">
            <w:pPr>
              <w:pStyle w:val="ListParagraph"/>
              <w:numPr>
                <w:ilvl w:val="1"/>
                <w:numId w:val="4"/>
              </w:numPr>
              <w:ind w:left="697" w:hanging="540"/>
            </w:pPr>
            <w:r>
              <w:t>PRODAVNICE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1000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920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780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280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140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5" w:type="dxa"/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</w:tr>
      <w:tr w:rsidR="00310E18" w:rsidRPr="00F6632B" w:rsidTr="00105968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Default="00310E18" w:rsidP="00310E18">
            <w:pPr>
              <w:pStyle w:val="ListParagraph"/>
              <w:numPr>
                <w:ilvl w:val="1"/>
                <w:numId w:val="4"/>
              </w:numPr>
              <w:ind w:left="697" w:hanging="540"/>
            </w:pPr>
            <w:r>
              <w:t>KANCELARIJE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1000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920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780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280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140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5" w:type="dxa"/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</w:tr>
      <w:tr w:rsidR="00310E18" w:rsidRPr="00F6632B" w:rsidTr="00105968"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E18" w:rsidRPr="00580412" w:rsidRDefault="00310E18" w:rsidP="00310E18">
            <w:pPr>
              <w:pStyle w:val="ListParagraph"/>
              <w:numPr>
                <w:ilvl w:val="1"/>
                <w:numId w:val="4"/>
              </w:numPr>
              <w:ind w:left="697" w:hanging="540"/>
            </w:pPr>
            <w:r>
              <w:t>RestoraNI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1000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920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780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280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140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5" w:type="dxa"/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</w:tr>
      <w:tr w:rsidR="00310E18" w:rsidRPr="00F6632B" w:rsidTr="00105968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580412" w:rsidRDefault="00310E18" w:rsidP="00310E18">
            <w:pPr>
              <w:pStyle w:val="ListParagraph"/>
              <w:numPr>
                <w:ilvl w:val="1"/>
                <w:numId w:val="4"/>
              </w:numPr>
              <w:ind w:left="697" w:hanging="540"/>
            </w:pPr>
            <w:r w:rsidRPr="00580412">
              <w:t>Hotel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1000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920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780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280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140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5" w:type="dxa"/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</w:tr>
      <w:tr w:rsidR="00310E18" w:rsidRPr="00F6632B" w:rsidTr="00105968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580412" w:rsidRDefault="00310E18" w:rsidP="00310E18">
            <w:pPr>
              <w:pStyle w:val="ListParagraph"/>
              <w:numPr>
                <w:ilvl w:val="1"/>
                <w:numId w:val="4"/>
              </w:numPr>
              <w:ind w:left="697" w:hanging="540"/>
            </w:pPr>
            <w:r>
              <w:t>OBJEKTI ZA KOMERCIONALNO SKLADISTENJE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500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475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400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140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70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5" w:type="dxa"/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</w:tr>
      <w:tr w:rsidR="00310E18" w:rsidRPr="00F6632B" w:rsidTr="00105968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580412" w:rsidRDefault="00310E18" w:rsidP="00310E18">
            <w:pPr>
              <w:pStyle w:val="ListParagraph"/>
              <w:numPr>
                <w:ilvl w:val="1"/>
                <w:numId w:val="4"/>
              </w:numPr>
              <w:ind w:left="697" w:hanging="540"/>
            </w:pPr>
            <w:r>
              <w:t>KOMERCIJALNA GARAZA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175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140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50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20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5" w:type="dxa"/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</w:tr>
      <w:tr w:rsidR="00310E18" w:rsidRPr="00F6632B" w:rsidTr="00105968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580412" w:rsidRDefault="00310E18" w:rsidP="00310E18">
            <w:pPr>
              <w:pStyle w:val="ListParagraph"/>
              <w:numPr>
                <w:ilvl w:val="1"/>
                <w:numId w:val="4"/>
              </w:numPr>
              <w:ind w:left="697" w:hanging="540"/>
            </w:pPr>
            <w:r>
              <w:t>BAZEN ZA KOMERCIJALNU UPOTREBU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180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170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150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80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5" w:type="dxa"/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</w:tr>
      <w:tr w:rsidR="00310E18" w:rsidRPr="00F6632B" w:rsidTr="00105968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580412" w:rsidRDefault="00310E18" w:rsidP="00310E18">
            <w:pPr>
              <w:pStyle w:val="ListParagraph"/>
              <w:numPr>
                <w:ilvl w:val="1"/>
                <w:numId w:val="4"/>
              </w:numPr>
              <w:ind w:left="697" w:hanging="540"/>
            </w:pPr>
            <w:r>
              <w:t>SPORTSKI TEREN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180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170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150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80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70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5" w:type="dxa"/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</w:tr>
      <w:tr w:rsidR="00310E18" w:rsidRPr="00F6632B" w:rsidTr="00105968">
        <w:trPr>
          <w:trHeight w:val="525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580412" w:rsidRDefault="00310E18" w:rsidP="00310E18">
            <w:pPr>
              <w:pStyle w:val="ListParagraph"/>
              <w:numPr>
                <w:ilvl w:val="1"/>
                <w:numId w:val="4"/>
              </w:numPr>
              <w:ind w:left="697" w:hanging="540"/>
            </w:pPr>
            <w:r>
              <w:t>ZATVORENI SPORTSKI TEREN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180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170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150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80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70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Merge w:val="restart"/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5" w:type="dxa"/>
            <w:vMerge w:val="restart"/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</w:tr>
      <w:tr w:rsidR="00310E18" w:rsidRPr="00F6632B" w:rsidTr="00105968">
        <w:trPr>
          <w:trHeight w:val="287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580412" w:rsidRDefault="00310E18" w:rsidP="00310E18">
            <w:pPr>
              <w:pStyle w:val="ListParagraph"/>
              <w:numPr>
                <w:ilvl w:val="1"/>
                <w:numId w:val="4"/>
              </w:numPr>
              <w:ind w:left="697" w:hanging="540"/>
            </w:pPr>
            <w:r>
              <w:t>PRIVATNE SKOLSKE INSTITUCIJE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Default="00310E18" w:rsidP="00105968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1000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920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Default="00310E18" w:rsidP="00105968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780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280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140</w:t>
            </w:r>
          </w:p>
        </w:tc>
        <w:tc>
          <w:tcPr>
            <w:tcW w:w="720" w:type="dxa"/>
            <w:vMerge/>
            <w:tcBorders>
              <w:lef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Merge/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5" w:type="dxa"/>
            <w:vMerge/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</w:tr>
      <w:tr w:rsidR="00310E18" w:rsidRPr="00F6632B" w:rsidTr="00105968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580412" w:rsidRDefault="00310E18" w:rsidP="00310E18">
            <w:pPr>
              <w:pStyle w:val="ListParagraph"/>
              <w:numPr>
                <w:ilvl w:val="1"/>
                <w:numId w:val="4"/>
              </w:numPr>
              <w:ind w:left="697" w:hanging="540"/>
            </w:pPr>
            <w:r>
              <w:t>BENZINSKA PUMPA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1000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920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780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280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140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5" w:type="dxa"/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</w:tr>
      <w:tr w:rsidR="00310E18" w:rsidRPr="00F6632B" w:rsidTr="00105968">
        <w:trPr>
          <w:trHeight w:val="620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580412" w:rsidRDefault="00E33EA5" w:rsidP="00310E18">
            <w:pPr>
              <w:pStyle w:val="ListParagraph"/>
              <w:numPr>
                <w:ilvl w:val="1"/>
                <w:numId w:val="4"/>
              </w:numPr>
              <w:ind w:left="697" w:hanging="540"/>
            </w:pPr>
            <w:r>
              <w:t xml:space="preserve">NEISKORISCENI KOMERCIJALNI </w:t>
            </w:r>
            <w:r>
              <w:lastRenderedPageBreak/>
              <w:t>OBJEKAT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lastRenderedPageBreak/>
              <w:t>700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644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546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196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98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5" w:type="dxa"/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</w:tr>
      <w:tr w:rsidR="00310E18" w:rsidRPr="00F6632B" w:rsidTr="00105968">
        <w:trPr>
          <w:gridAfter w:val="3"/>
          <w:wAfter w:w="2165" w:type="dxa"/>
        </w:trPr>
        <w:tc>
          <w:tcPr>
            <w:tcW w:w="7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E18" w:rsidRPr="006C103E" w:rsidRDefault="00E33EA5" w:rsidP="00E33EA5">
            <w:pPr>
              <w:pStyle w:val="BodyText2"/>
              <w:numPr>
                <w:ilvl w:val="0"/>
                <w:numId w:val="5"/>
              </w:numPr>
              <w:jc w:val="left"/>
              <w:rPr>
                <w:i w:val="0"/>
              </w:rPr>
            </w:pPr>
            <w:r w:rsidRPr="006C103E">
              <w:rPr>
                <w:i w:val="0"/>
              </w:rPr>
              <w:lastRenderedPageBreak/>
              <w:t>INDUSTRIJSKA IMOVINA</w:t>
            </w:r>
          </w:p>
        </w:tc>
      </w:tr>
      <w:tr w:rsidR="00310E18" w:rsidRPr="00F6632B" w:rsidTr="00105968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6C103E" w:rsidRDefault="00E33EA5" w:rsidP="00310E18">
            <w:pPr>
              <w:pStyle w:val="ListParagraph"/>
              <w:numPr>
                <w:ilvl w:val="1"/>
                <w:numId w:val="5"/>
              </w:numPr>
              <w:ind w:left="697" w:hanging="540"/>
            </w:pPr>
            <w:r w:rsidRPr="006C103E">
              <w:rPr>
                <w:sz w:val="28"/>
              </w:rPr>
              <w:t>FabrikA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325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280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235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200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150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100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Merge w:val="restart"/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5" w:type="dxa"/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</w:tr>
      <w:tr w:rsidR="00310E18" w:rsidRPr="00F6632B" w:rsidTr="00105968">
        <w:trPr>
          <w:gridAfter w:val="1"/>
          <w:wAfter w:w="725" w:type="dxa"/>
          <w:trHeight w:val="467"/>
        </w:trPr>
        <w:tc>
          <w:tcPr>
            <w:tcW w:w="2577" w:type="dxa"/>
            <w:tcBorders>
              <w:left w:val="single" w:sz="4" w:space="0" w:color="auto"/>
              <w:right w:val="single" w:sz="4" w:space="0" w:color="auto"/>
            </w:tcBorders>
          </w:tcPr>
          <w:p w:rsidR="00310E18" w:rsidRDefault="00E33EA5" w:rsidP="00310E18">
            <w:pPr>
              <w:pStyle w:val="ListParagraph"/>
              <w:numPr>
                <w:ilvl w:val="1"/>
                <w:numId w:val="5"/>
              </w:numPr>
              <w:ind w:left="697" w:hanging="540"/>
            </w:pPr>
            <w:r>
              <w:t>RADIONICA</w:t>
            </w:r>
          </w:p>
          <w:p w:rsidR="00310E18" w:rsidRDefault="00310E18" w:rsidP="00105968">
            <w:pPr>
              <w:pStyle w:val="ListParagraph"/>
              <w:ind w:left="697"/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325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280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235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200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160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150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100</w:t>
            </w:r>
          </w:p>
        </w:tc>
        <w:tc>
          <w:tcPr>
            <w:tcW w:w="720" w:type="dxa"/>
            <w:vMerge/>
            <w:tcBorders>
              <w:lef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Merge/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</w:tr>
      <w:tr w:rsidR="00310E18" w:rsidRPr="00F6632B" w:rsidTr="00105968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Default="00E33EA5" w:rsidP="00310E18">
            <w:pPr>
              <w:pStyle w:val="ListParagraph"/>
              <w:numPr>
                <w:ilvl w:val="1"/>
                <w:numId w:val="5"/>
              </w:numPr>
              <w:ind w:left="697" w:hanging="540"/>
            </w:pPr>
            <w:r>
              <w:t>PRERADJIVACKA INDUSTRIJA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325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280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235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150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5" w:type="dxa"/>
          </w:tcPr>
          <w:p w:rsidR="00310E18" w:rsidRPr="00B32F7D" w:rsidRDefault="00310E18" w:rsidP="00105968">
            <w:pPr>
              <w:pStyle w:val="BodyText2"/>
              <w:jc w:val="right"/>
              <w:rPr>
                <w:i w:val="0"/>
              </w:rPr>
            </w:pPr>
          </w:p>
        </w:tc>
      </w:tr>
      <w:tr w:rsidR="00310E18" w:rsidTr="001059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165" w:type="dxa"/>
          <w:trHeight w:val="390"/>
        </w:trPr>
        <w:tc>
          <w:tcPr>
            <w:tcW w:w="7645" w:type="dxa"/>
            <w:gridSpan w:val="9"/>
            <w:tcBorders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310E18" w:rsidRPr="00C7082B" w:rsidRDefault="00310E18" w:rsidP="00105968">
            <w:pPr>
              <w:jc w:val="both"/>
              <w:rPr>
                <w:b w:val="0"/>
                <w:bCs/>
              </w:rPr>
            </w:pPr>
          </w:p>
        </w:tc>
      </w:tr>
    </w:tbl>
    <w:p w:rsidR="00310E18" w:rsidRDefault="00310E18" w:rsidP="00310E18">
      <w:pPr>
        <w:jc w:val="center"/>
        <w:rPr>
          <w:b/>
          <w:bCs/>
        </w:rPr>
      </w:pPr>
    </w:p>
    <w:p w:rsidR="00310E18" w:rsidRDefault="00310E18" w:rsidP="00310E18">
      <w:pPr>
        <w:jc w:val="center"/>
        <w:rPr>
          <w:b/>
          <w:bCs/>
        </w:rPr>
      </w:pPr>
    </w:p>
    <w:p w:rsidR="00310E18" w:rsidRDefault="00E473C7" w:rsidP="00310E18">
      <w:pPr>
        <w:jc w:val="center"/>
        <w:rPr>
          <w:b/>
          <w:bCs/>
        </w:rPr>
      </w:pPr>
      <w:r>
        <w:rPr>
          <w:b/>
          <w:bCs/>
        </w:rPr>
        <w:t xml:space="preserve">Clan </w:t>
      </w:r>
      <w:r w:rsidR="00310E18">
        <w:rPr>
          <w:b/>
          <w:bCs/>
        </w:rPr>
        <w:t>2</w:t>
      </w:r>
    </w:p>
    <w:p w:rsidR="00310E18" w:rsidRPr="00F6632B" w:rsidRDefault="00310E18" w:rsidP="00310E18">
      <w:pPr>
        <w:jc w:val="center"/>
        <w:rPr>
          <w:b/>
          <w:bCs/>
        </w:rPr>
      </w:pPr>
    </w:p>
    <w:p w:rsidR="00310E18" w:rsidRPr="00371EB2" w:rsidRDefault="00E473C7" w:rsidP="00310E18">
      <w:pPr>
        <w:pStyle w:val="Heading3"/>
        <w:rPr>
          <w:u w:val="none"/>
        </w:rPr>
      </w:pPr>
      <w:r>
        <w:rPr>
          <w:u w:val="none"/>
        </w:rPr>
        <w:t>Poreske zone i podzone</w:t>
      </w:r>
    </w:p>
    <w:p w:rsidR="00310E18" w:rsidRPr="00F6632B" w:rsidRDefault="00310E18" w:rsidP="00310E18">
      <w:pPr>
        <w:jc w:val="center"/>
        <w:rPr>
          <w:b/>
          <w:bCs/>
          <w:u w:val="single"/>
        </w:rPr>
      </w:pPr>
    </w:p>
    <w:p w:rsidR="00310E18" w:rsidRPr="0075063B" w:rsidRDefault="00E473C7" w:rsidP="00310E18">
      <w:pPr>
        <w:pStyle w:val="Heading4"/>
      </w:pPr>
      <w:r>
        <w:t>Prva zona</w:t>
      </w:r>
      <w:r w:rsidR="00310E18" w:rsidRPr="000510AC">
        <w:rPr>
          <w:rFonts w:eastAsia="SimSun"/>
          <w:bCs w:val="0"/>
        </w:rPr>
        <w:t xml:space="preserve"> I - </w:t>
      </w:r>
      <w:r>
        <w:rPr>
          <w:rFonts w:eastAsia="SimSun"/>
          <w:b w:val="0"/>
          <w:bCs w:val="0"/>
        </w:rPr>
        <w:t xml:space="preserve"> ukljucuje ulice</w:t>
      </w:r>
      <w:r w:rsidR="00310E18" w:rsidRPr="000510AC">
        <w:rPr>
          <w:rFonts w:eastAsia="SimSun"/>
          <w:b w:val="0"/>
          <w:bCs w:val="0"/>
        </w:rPr>
        <w:t>; Abdullah Tahiri, Bulevardi i Pavarësisë, Xhemajl Mustafa, Adem Jashari, Zija Shemsiu,15 Qershori 99, Medlin Olbrajt, Shadërva</w:t>
      </w:r>
      <w:r>
        <w:rPr>
          <w:rFonts w:eastAsia="SimSun"/>
          <w:b w:val="0"/>
          <w:bCs w:val="0"/>
        </w:rPr>
        <w:t>ni, Gjinollve, Haki Myderizi od ul.Haqif Tetova do raskrsnice  Ul</w:t>
      </w:r>
      <w:r w:rsidR="00310E18" w:rsidRPr="000510AC">
        <w:rPr>
          <w:rFonts w:eastAsia="SimSun"/>
          <w:b w:val="0"/>
          <w:bCs w:val="0"/>
        </w:rPr>
        <w:t>.15 Qers</w:t>
      </w:r>
      <w:r>
        <w:rPr>
          <w:rFonts w:eastAsia="SimSun"/>
          <w:b w:val="0"/>
          <w:bCs w:val="0"/>
        </w:rPr>
        <w:t>hori 99,  Haqif Tetova(jedan deo</w:t>
      </w:r>
      <w:r w:rsidR="00310E18" w:rsidRPr="000510AC">
        <w:rPr>
          <w:rFonts w:eastAsia="SimSun"/>
          <w:b w:val="0"/>
          <w:bCs w:val="0"/>
        </w:rPr>
        <w:t>)</w:t>
      </w:r>
      <w:r>
        <w:rPr>
          <w:rFonts w:eastAsia="SimSun"/>
          <w:b w:val="0"/>
          <w:bCs w:val="0"/>
        </w:rPr>
        <w:t>, Esat Berisha od ul.Xhemë Topalla do ul</w:t>
      </w:r>
      <w:r w:rsidR="00310E18" w:rsidRPr="000510AC">
        <w:rPr>
          <w:rFonts w:eastAsia="SimSun"/>
          <w:b w:val="0"/>
          <w:bCs w:val="0"/>
        </w:rPr>
        <w:t xml:space="preserve">.Makfire Deda,  Mulla Idrizi, </w:t>
      </w:r>
      <w:r>
        <w:rPr>
          <w:rFonts w:eastAsia="SimSun"/>
          <w:b w:val="0"/>
          <w:bCs w:val="0"/>
        </w:rPr>
        <w:t>od centra do male dzamije i</w:t>
      </w:r>
      <w:r w:rsidR="00310E18" w:rsidRPr="000510AC">
        <w:rPr>
          <w:rFonts w:eastAsia="SimSun"/>
          <w:b w:val="0"/>
          <w:bCs w:val="0"/>
        </w:rPr>
        <w:t xml:space="preserve"> Mehmet Akif  Ersoj</w:t>
      </w:r>
      <w:r>
        <w:rPr>
          <w:rFonts w:eastAsia="SimSun"/>
          <w:b w:val="0"/>
          <w:bCs w:val="0"/>
        </w:rPr>
        <w:t>.</w:t>
      </w:r>
    </w:p>
    <w:p w:rsidR="00310E18" w:rsidRDefault="00310E18" w:rsidP="00310E18">
      <w:pPr>
        <w:jc w:val="both"/>
        <w:rPr>
          <w:b/>
          <w:bCs/>
          <w:color w:val="000000"/>
          <w:u w:val="single"/>
        </w:rPr>
      </w:pPr>
    </w:p>
    <w:p w:rsidR="00310E18" w:rsidRPr="000510AC" w:rsidRDefault="00E473C7" w:rsidP="00310E18">
      <w:pPr>
        <w:pStyle w:val="Heading5"/>
      </w:pPr>
      <w:r>
        <w:t>Podzona</w:t>
      </w:r>
      <w:r w:rsidR="00310E18" w:rsidRPr="000510AC">
        <w:t xml:space="preserve"> Ia</w:t>
      </w:r>
    </w:p>
    <w:p w:rsidR="00310E18" w:rsidRDefault="00310E18" w:rsidP="00310E18">
      <w:pPr>
        <w:jc w:val="both"/>
        <w:rPr>
          <w:bCs/>
          <w:color w:val="000000"/>
        </w:rPr>
      </w:pPr>
    </w:p>
    <w:p w:rsidR="00310E18" w:rsidRPr="000510AC" w:rsidRDefault="00310E18" w:rsidP="00310E18">
      <w:pPr>
        <w:jc w:val="both"/>
        <w:rPr>
          <w:rFonts w:eastAsia="SimSun"/>
        </w:rPr>
      </w:pPr>
      <w:r w:rsidRPr="000510AC">
        <w:rPr>
          <w:rFonts w:eastAsia="SimSun"/>
          <w:b/>
        </w:rPr>
        <w:t xml:space="preserve"> </w:t>
      </w:r>
      <w:r w:rsidRPr="000510AC">
        <w:rPr>
          <w:rFonts w:eastAsia="SimSun"/>
        </w:rPr>
        <w:t xml:space="preserve">Idriz Seferi </w:t>
      </w:r>
      <w:r w:rsidR="00E473C7">
        <w:rPr>
          <w:rFonts w:eastAsia="SimSun"/>
        </w:rPr>
        <w:t>od autobuske stanice</w:t>
      </w:r>
      <w:r w:rsidRPr="000510AC">
        <w:rPr>
          <w:rFonts w:eastAsia="SimSun"/>
        </w:rPr>
        <w:t>.-Kosova petrol, Isa Boletini, Gjon Sereqi, Xhemë Topalla, Metush Krasniqi, Nato 99, 28 Nëntori, Ram</w:t>
      </w:r>
      <w:r w:rsidR="00E473C7">
        <w:rPr>
          <w:rFonts w:eastAsia="SimSun"/>
        </w:rPr>
        <w:t>iz Cernica , Nëna Terezë do Kruznog toka, Avdullah Presheva do ul</w:t>
      </w:r>
      <w:r w:rsidRPr="000510AC">
        <w:rPr>
          <w:rFonts w:eastAsia="SimSun"/>
        </w:rPr>
        <w:t>.V.Frashëri, Sadulla</w:t>
      </w:r>
      <w:r w:rsidR="00E473C7">
        <w:rPr>
          <w:rFonts w:eastAsia="SimSun"/>
        </w:rPr>
        <w:t>h Brestovci do raskrsnice ul</w:t>
      </w:r>
      <w:r w:rsidRPr="000510AC">
        <w:rPr>
          <w:rFonts w:eastAsia="SimSun"/>
        </w:rPr>
        <w:t xml:space="preserve">.R. Dajkovci, Haqif Tetova ,Esat Berisha </w:t>
      </w:r>
      <w:r w:rsidR="00E473C7">
        <w:rPr>
          <w:rFonts w:eastAsia="SimSun"/>
        </w:rPr>
        <w:t xml:space="preserve">od dzamije do kruznog toka u naselju </w:t>
      </w:r>
      <w:r w:rsidRPr="000510AC">
        <w:rPr>
          <w:rFonts w:eastAsia="SimSun"/>
        </w:rPr>
        <w:t xml:space="preserve">Iliria,   Marije Shllaku  </w:t>
      </w:r>
      <w:r w:rsidR="00E473C7">
        <w:rPr>
          <w:rFonts w:eastAsia="SimSun"/>
        </w:rPr>
        <w:t>do raskrsnice ulice za selo Silovo</w:t>
      </w:r>
      <w:r w:rsidRPr="000510AC">
        <w:rPr>
          <w:rFonts w:eastAsia="SimSun"/>
        </w:rPr>
        <w:t>.</w:t>
      </w:r>
      <w:r w:rsidRPr="000510AC">
        <w:rPr>
          <w:rFonts w:eastAsia="SimSun"/>
          <w:b/>
        </w:rPr>
        <w:t xml:space="preserve"> </w:t>
      </w:r>
      <w:r w:rsidR="00E473C7">
        <w:rPr>
          <w:rFonts w:eastAsia="SimSun"/>
        </w:rPr>
        <w:t xml:space="preserve">Juzni </w:t>
      </w:r>
      <w:r w:rsidR="00E34139">
        <w:rPr>
          <w:rFonts w:eastAsia="SimSun"/>
        </w:rPr>
        <w:t xml:space="preserve">tok </w:t>
      </w:r>
      <w:r w:rsidRPr="000510AC">
        <w:rPr>
          <w:rFonts w:eastAsia="SimSun"/>
        </w:rPr>
        <w:t>(</w:t>
      </w:r>
      <w:r w:rsidR="00E473C7">
        <w:rPr>
          <w:rFonts w:eastAsia="SimSun"/>
        </w:rPr>
        <w:t xml:space="preserve">od krunog toka do ulice </w:t>
      </w:r>
      <w:r w:rsidRPr="000510AC">
        <w:rPr>
          <w:rFonts w:eastAsia="SimSun"/>
        </w:rPr>
        <w:t>Mulla Idr</w:t>
      </w:r>
      <w:r w:rsidR="00E473C7">
        <w:rPr>
          <w:rFonts w:eastAsia="SimSun"/>
        </w:rPr>
        <w:t>i</w:t>
      </w:r>
      <w:r w:rsidRPr="000510AC">
        <w:rPr>
          <w:rFonts w:eastAsia="SimSun"/>
        </w:rPr>
        <w:t>zi).</w:t>
      </w:r>
    </w:p>
    <w:p w:rsidR="00310E18" w:rsidRDefault="00310E18" w:rsidP="00310E18">
      <w:pPr>
        <w:jc w:val="both"/>
        <w:rPr>
          <w:bCs/>
          <w:color w:val="000000"/>
        </w:rPr>
      </w:pPr>
    </w:p>
    <w:p w:rsidR="00310E18" w:rsidRPr="0075063B" w:rsidRDefault="00044958" w:rsidP="00310E18">
      <w:pPr>
        <w:pStyle w:val="Heading4"/>
      </w:pPr>
      <w:r>
        <w:t>Podzona</w:t>
      </w:r>
      <w:r w:rsidR="00310E18">
        <w:t xml:space="preserve"> Ib</w:t>
      </w:r>
    </w:p>
    <w:p w:rsidR="00310E18" w:rsidRDefault="00310E18" w:rsidP="00310E18">
      <w:pPr>
        <w:jc w:val="both"/>
        <w:rPr>
          <w:bCs/>
        </w:rPr>
      </w:pPr>
    </w:p>
    <w:p w:rsidR="00310E18" w:rsidRDefault="00044958" w:rsidP="00310E18">
      <w:pPr>
        <w:jc w:val="both"/>
        <w:rPr>
          <w:rFonts w:eastAsia="SimSun"/>
          <w:b/>
        </w:rPr>
      </w:pPr>
      <w:r>
        <w:rPr>
          <w:rFonts w:eastAsia="SimSun"/>
        </w:rPr>
        <w:t>Beqir Musliu ulice</w:t>
      </w:r>
      <w:r w:rsidR="00310E18" w:rsidRPr="005E4F46">
        <w:rPr>
          <w:rFonts w:eastAsia="SimSun"/>
        </w:rPr>
        <w:t xml:space="preserve"> </w:t>
      </w:r>
      <w:r w:rsidR="00310E18" w:rsidRPr="005E4F46">
        <w:rPr>
          <w:rFonts w:eastAsia="SimSun"/>
          <w:b/>
        </w:rPr>
        <w:t>1a-9</w:t>
      </w:r>
      <w:r>
        <w:rPr>
          <w:rFonts w:eastAsia="SimSun"/>
        </w:rPr>
        <w:t>, Muharrem Ibrahimi ulice</w:t>
      </w:r>
      <w:r w:rsidR="00310E18" w:rsidRPr="005E4F46">
        <w:rPr>
          <w:rFonts w:eastAsia="SimSun"/>
        </w:rPr>
        <w:t xml:space="preserve"> </w:t>
      </w:r>
      <w:r w:rsidR="00310E18" w:rsidRPr="005E4F46">
        <w:rPr>
          <w:rFonts w:eastAsia="SimSun"/>
          <w:b/>
        </w:rPr>
        <w:t>1-9</w:t>
      </w:r>
      <w:r w:rsidR="00310E18" w:rsidRPr="005E4F46">
        <w:rPr>
          <w:rFonts w:eastAsia="SimSun"/>
        </w:rPr>
        <w:t>, Enver Miftari, Lidhja e Prizrenit, Pajazit Ahmeti (</w:t>
      </w:r>
      <w:r>
        <w:rPr>
          <w:rFonts w:eastAsia="SimSun"/>
        </w:rPr>
        <w:t xml:space="preserve">od raskrsnice Pristinskog puta do samousluge </w:t>
      </w:r>
      <w:r w:rsidR="00310E18" w:rsidRPr="005E4F46">
        <w:rPr>
          <w:rFonts w:eastAsia="SimSun"/>
        </w:rPr>
        <w:t>“Pireva”, Mulla Idrizi(</w:t>
      </w:r>
      <w:r w:rsidR="004F47BE">
        <w:rPr>
          <w:rFonts w:eastAsia="SimSun"/>
        </w:rPr>
        <w:t xml:space="preserve">juzni </w:t>
      </w:r>
      <w:r w:rsidR="00E34139">
        <w:rPr>
          <w:rFonts w:eastAsia="SimSun"/>
        </w:rPr>
        <w:t>tok</w:t>
      </w:r>
      <w:r w:rsidR="004F47BE">
        <w:rPr>
          <w:rFonts w:eastAsia="SimSun"/>
        </w:rPr>
        <w:t xml:space="preserve"> </w:t>
      </w:r>
      <w:r w:rsidR="00310E18" w:rsidRPr="005E4F46">
        <w:rPr>
          <w:rFonts w:eastAsia="SimSun"/>
        </w:rPr>
        <w:t xml:space="preserve">– Fabrika </w:t>
      </w:r>
      <w:r w:rsidR="004F47BE">
        <w:rPr>
          <w:rFonts w:eastAsia="SimSun"/>
        </w:rPr>
        <w:t>Radijatora</w:t>
      </w:r>
      <w:r w:rsidR="00310E18" w:rsidRPr="005E4F46">
        <w:rPr>
          <w:rFonts w:eastAsia="SimSun"/>
        </w:rPr>
        <w:t xml:space="preserve">), Hamdi Kurteshi </w:t>
      </w:r>
      <w:r w:rsidR="004F47BE">
        <w:rPr>
          <w:rFonts w:eastAsia="SimSun"/>
        </w:rPr>
        <w:t xml:space="preserve">do </w:t>
      </w:r>
      <w:r w:rsidR="00E34139">
        <w:rPr>
          <w:rFonts w:eastAsia="SimSun"/>
        </w:rPr>
        <w:t>juznog toka</w:t>
      </w:r>
      <w:r w:rsidR="00310E18" w:rsidRPr="005E4F46">
        <w:rPr>
          <w:rFonts w:eastAsia="SimSun"/>
        </w:rPr>
        <w:t xml:space="preserve">, </w:t>
      </w:r>
      <w:r w:rsidR="004F47BE">
        <w:rPr>
          <w:rFonts w:eastAsia="SimSun"/>
        </w:rPr>
        <w:t>Pristinski put</w:t>
      </w:r>
      <w:r w:rsidR="00310E18" w:rsidRPr="005E4F46">
        <w:rPr>
          <w:rFonts w:eastAsia="SimSun"/>
        </w:rPr>
        <w:t xml:space="preserve"> (</w:t>
      </w:r>
      <w:r w:rsidR="004F47BE">
        <w:rPr>
          <w:rFonts w:eastAsia="SimSun"/>
        </w:rPr>
        <w:t xml:space="preserve">od </w:t>
      </w:r>
      <w:r w:rsidR="00E34139">
        <w:rPr>
          <w:rFonts w:eastAsia="SimSun"/>
        </w:rPr>
        <w:t>juznog toka</w:t>
      </w:r>
      <w:r w:rsidR="00310E18" w:rsidRPr="005E4F46">
        <w:rPr>
          <w:rFonts w:eastAsia="SimSun"/>
        </w:rPr>
        <w:t xml:space="preserve"> </w:t>
      </w:r>
      <w:r w:rsidR="004F47BE">
        <w:rPr>
          <w:rFonts w:eastAsia="SimSun"/>
        </w:rPr>
        <w:t>do   Pumpe Calabria), Idriz Seferi (od Kosova Petrol-raskrsnica</w:t>
      </w:r>
      <w:r w:rsidR="00310E18" w:rsidRPr="005E4F46">
        <w:rPr>
          <w:rFonts w:eastAsia="SimSun"/>
        </w:rPr>
        <w:t xml:space="preserve"> </w:t>
      </w:r>
      <w:r w:rsidR="00E34139">
        <w:rPr>
          <w:rFonts w:eastAsia="SimSun"/>
        </w:rPr>
        <w:t>juznog toka</w:t>
      </w:r>
      <w:r w:rsidR="00310E18" w:rsidRPr="005E4F46">
        <w:rPr>
          <w:rFonts w:eastAsia="SimSun"/>
        </w:rPr>
        <w:t xml:space="preserve"> Haki Myderizi,  Halim </w:t>
      </w:r>
      <w:r w:rsidR="00310E18" w:rsidRPr="00291DA7">
        <w:rPr>
          <w:rFonts w:eastAsia="SimSun"/>
        </w:rPr>
        <w:t>Orana</w:t>
      </w:r>
      <w:r w:rsidR="00310E18" w:rsidRPr="005E4F46">
        <w:rPr>
          <w:rFonts w:eastAsia="SimSun"/>
          <w:b/>
        </w:rPr>
        <w:t>,</w:t>
      </w:r>
      <w:r w:rsidR="00E34139">
        <w:rPr>
          <w:rFonts w:eastAsia="SimSun"/>
        </w:rPr>
        <w:t>juzni tok</w:t>
      </w:r>
      <w:r w:rsidR="00310E18" w:rsidRPr="005E4F46">
        <w:rPr>
          <w:rFonts w:eastAsia="SimSun"/>
          <w:b/>
        </w:rPr>
        <w:t xml:space="preserve"> </w:t>
      </w:r>
      <w:r w:rsidR="004F47BE">
        <w:rPr>
          <w:rFonts w:eastAsia="SimSun"/>
        </w:rPr>
        <w:t>od ul.Mulla Idrizi do ulice</w:t>
      </w:r>
      <w:r w:rsidR="00E34139">
        <w:rPr>
          <w:rFonts w:eastAsia="SimSun"/>
        </w:rPr>
        <w:t xml:space="preserve"> Hamdi Kurteshi(Malisevo</w:t>
      </w:r>
      <w:r w:rsidR="00310E18" w:rsidRPr="005E4F46">
        <w:rPr>
          <w:rFonts w:eastAsia="SimSun"/>
          <w:b/>
        </w:rPr>
        <w:t>)</w:t>
      </w:r>
    </w:p>
    <w:p w:rsidR="00310E18" w:rsidRDefault="00310E18" w:rsidP="00310E18">
      <w:pPr>
        <w:jc w:val="both"/>
        <w:rPr>
          <w:b/>
          <w:bCs/>
          <w:color w:val="000000"/>
          <w:u w:val="single"/>
        </w:rPr>
      </w:pPr>
    </w:p>
    <w:p w:rsidR="00310E18" w:rsidRPr="005E4F46" w:rsidRDefault="004F47BE" w:rsidP="00310E18">
      <w:pPr>
        <w:pStyle w:val="Heading5"/>
      </w:pPr>
      <w:r>
        <w:t>Druga zona</w:t>
      </w:r>
      <w:r w:rsidR="00310E18" w:rsidRPr="005E4F46">
        <w:t xml:space="preserve"> II</w:t>
      </w:r>
    </w:p>
    <w:p w:rsidR="00310E18" w:rsidRDefault="00310E18" w:rsidP="00310E18">
      <w:pPr>
        <w:jc w:val="both"/>
        <w:rPr>
          <w:bCs/>
          <w:color w:val="000000"/>
        </w:rPr>
      </w:pPr>
    </w:p>
    <w:p w:rsidR="00310E18" w:rsidRDefault="004F47BE" w:rsidP="00310E18">
      <w:pPr>
        <w:jc w:val="both"/>
        <w:rPr>
          <w:bCs/>
          <w:color w:val="000000"/>
        </w:rPr>
      </w:pPr>
      <w:r>
        <w:t>Ulica</w:t>
      </w:r>
      <w:r w:rsidR="00310E18">
        <w:t xml:space="preserve"> - </w:t>
      </w:r>
      <w:r w:rsidR="00310E18" w:rsidRPr="009D3A01">
        <w:t>V</w:t>
      </w:r>
      <w:r w:rsidR="00310E18">
        <w:t>ë</w:t>
      </w:r>
      <w:r w:rsidR="00310E18" w:rsidRPr="009D3A01">
        <w:t>llez</w:t>
      </w:r>
      <w:r w:rsidR="00310E18">
        <w:t>ërit Frashë</w:t>
      </w:r>
      <w:r w:rsidR="00310E18" w:rsidRPr="009D3A01">
        <w:t>ri,</w:t>
      </w:r>
      <w:r w:rsidR="00310E18">
        <w:t xml:space="preserve"> </w:t>
      </w:r>
      <w:r w:rsidR="00310E18" w:rsidRPr="009D3A01">
        <w:t>Agim Rashiti,</w:t>
      </w:r>
      <w:r w:rsidR="00310E18">
        <w:t xml:space="preserve"> </w:t>
      </w:r>
      <w:r w:rsidR="00310E18" w:rsidRPr="009D3A01">
        <w:t>Isa Kastrati,</w:t>
      </w:r>
      <w:r w:rsidR="00310E18">
        <w:t xml:space="preserve"> </w:t>
      </w:r>
      <w:r w:rsidR="00310E18" w:rsidRPr="009D3A01">
        <w:t>Gjon Buzuku,</w:t>
      </w:r>
      <w:r w:rsidR="00310E18">
        <w:t xml:space="preserve"> Lekë Dukagjini,    Limon Staneci,Vëllezërit Hyseni, Fadil Jakupi,Bajram Llovca </w:t>
      </w:r>
      <w:r w:rsidR="00310E18" w:rsidRPr="009D3A01">
        <w:t>etj.</w:t>
      </w:r>
    </w:p>
    <w:p w:rsidR="00310E18" w:rsidRDefault="00310E18" w:rsidP="00310E18">
      <w:pPr>
        <w:pStyle w:val="Heading4"/>
      </w:pPr>
    </w:p>
    <w:p w:rsidR="00310E18" w:rsidRPr="0075063B" w:rsidRDefault="004F47BE" w:rsidP="00310E18">
      <w:pPr>
        <w:pStyle w:val="Heading4"/>
      </w:pPr>
      <w:proofErr w:type="spellStart"/>
      <w:r>
        <w:t>Treca</w:t>
      </w:r>
      <w:proofErr w:type="spellEnd"/>
      <w:r>
        <w:t xml:space="preserve"> zona </w:t>
      </w:r>
      <w:r w:rsidR="00310E18" w:rsidRPr="0075063B">
        <w:t xml:space="preserve"> </w:t>
      </w:r>
      <w:r w:rsidR="00310E18">
        <w:t>III</w:t>
      </w:r>
    </w:p>
    <w:p w:rsidR="00310E18" w:rsidRDefault="00310E18" w:rsidP="00310E18">
      <w:pPr>
        <w:jc w:val="both"/>
        <w:rPr>
          <w:bCs/>
        </w:rPr>
      </w:pPr>
    </w:p>
    <w:p w:rsidR="00450EB3" w:rsidRDefault="00450EB3" w:rsidP="00450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zCs w:val="20"/>
          <w:lang w:val="en-US"/>
        </w:rPr>
      </w:pPr>
      <w:proofErr w:type="spellStart"/>
      <w:r w:rsidRPr="00450EB3">
        <w:rPr>
          <w:color w:val="212121"/>
          <w:szCs w:val="20"/>
          <w:lang w:val="en-US"/>
        </w:rPr>
        <w:t>Uključuje</w:t>
      </w:r>
      <w:proofErr w:type="spellEnd"/>
      <w:r w:rsidRPr="00450EB3">
        <w:rPr>
          <w:color w:val="212121"/>
          <w:szCs w:val="20"/>
          <w:lang w:val="en-US"/>
        </w:rPr>
        <w:t xml:space="preserve"> </w:t>
      </w:r>
      <w:proofErr w:type="spellStart"/>
      <w:r w:rsidRPr="00450EB3">
        <w:rPr>
          <w:color w:val="212121"/>
          <w:szCs w:val="20"/>
          <w:lang w:val="en-US"/>
        </w:rPr>
        <w:t>sve</w:t>
      </w:r>
      <w:proofErr w:type="spellEnd"/>
      <w:r w:rsidRPr="00450EB3">
        <w:rPr>
          <w:color w:val="212121"/>
          <w:szCs w:val="20"/>
          <w:lang w:val="en-US"/>
        </w:rPr>
        <w:t xml:space="preserve"> </w:t>
      </w:r>
      <w:proofErr w:type="spellStart"/>
      <w:r w:rsidRPr="00450EB3">
        <w:rPr>
          <w:color w:val="212121"/>
          <w:szCs w:val="20"/>
          <w:lang w:val="en-US"/>
        </w:rPr>
        <w:t>objekte</w:t>
      </w:r>
      <w:proofErr w:type="spellEnd"/>
      <w:r w:rsidRPr="00450EB3">
        <w:rPr>
          <w:color w:val="212121"/>
          <w:szCs w:val="20"/>
          <w:lang w:val="en-US"/>
        </w:rPr>
        <w:t xml:space="preserve"> </w:t>
      </w:r>
      <w:proofErr w:type="spellStart"/>
      <w:r w:rsidRPr="00450EB3">
        <w:rPr>
          <w:color w:val="212121"/>
          <w:szCs w:val="20"/>
          <w:lang w:val="en-US"/>
        </w:rPr>
        <w:t>koji</w:t>
      </w:r>
      <w:proofErr w:type="spellEnd"/>
      <w:r w:rsidRPr="00450EB3">
        <w:rPr>
          <w:color w:val="212121"/>
          <w:szCs w:val="20"/>
          <w:lang w:val="en-US"/>
        </w:rPr>
        <w:t xml:space="preserve"> </w:t>
      </w:r>
      <w:proofErr w:type="spellStart"/>
      <w:r w:rsidRPr="00450EB3">
        <w:rPr>
          <w:color w:val="212121"/>
          <w:szCs w:val="20"/>
          <w:lang w:val="en-US"/>
        </w:rPr>
        <w:t>nemaju</w:t>
      </w:r>
      <w:proofErr w:type="spellEnd"/>
      <w:r w:rsidRPr="00450EB3">
        <w:rPr>
          <w:color w:val="212121"/>
          <w:szCs w:val="20"/>
          <w:lang w:val="en-US"/>
        </w:rPr>
        <w:t xml:space="preserve"> </w:t>
      </w:r>
      <w:proofErr w:type="spellStart"/>
      <w:r w:rsidRPr="00450EB3">
        <w:rPr>
          <w:color w:val="212121"/>
          <w:szCs w:val="20"/>
          <w:lang w:val="en-US"/>
        </w:rPr>
        <w:t>odgovarajuće</w:t>
      </w:r>
      <w:proofErr w:type="spellEnd"/>
      <w:r w:rsidRPr="00450EB3">
        <w:rPr>
          <w:color w:val="212121"/>
          <w:szCs w:val="20"/>
          <w:lang w:val="en-US"/>
        </w:rPr>
        <w:t xml:space="preserve"> </w:t>
      </w:r>
      <w:proofErr w:type="spellStart"/>
      <w:r w:rsidRPr="00450EB3">
        <w:rPr>
          <w:color w:val="212121"/>
          <w:szCs w:val="20"/>
          <w:lang w:val="en-US"/>
        </w:rPr>
        <w:t>nazive</w:t>
      </w:r>
      <w:proofErr w:type="spellEnd"/>
      <w:r w:rsidRPr="00450EB3">
        <w:rPr>
          <w:color w:val="212121"/>
          <w:szCs w:val="20"/>
          <w:lang w:val="en-US"/>
        </w:rPr>
        <w:t xml:space="preserve"> </w:t>
      </w:r>
      <w:proofErr w:type="spellStart"/>
      <w:r w:rsidRPr="00450EB3">
        <w:rPr>
          <w:color w:val="212121"/>
          <w:szCs w:val="20"/>
          <w:lang w:val="en-US"/>
        </w:rPr>
        <w:t>ulica</w:t>
      </w:r>
      <w:proofErr w:type="spellEnd"/>
      <w:r w:rsidRPr="00450EB3">
        <w:rPr>
          <w:color w:val="212121"/>
          <w:szCs w:val="20"/>
          <w:lang w:val="en-US"/>
        </w:rPr>
        <w:t xml:space="preserve"> i </w:t>
      </w:r>
      <w:proofErr w:type="spellStart"/>
      <w:r w:rsidRPr="00450EB3">
        <w:rPr>
          <w:color w:val="212121"/>
          <w:szCs w:val="20"/>
          <w:lang w:val="en-US"/>
        </w:rPr>
        <w:t>objekata</w:t>
      </w:r>
      <w:proofErr w:type="spellEnd"/>
      <w:r w:rsidRPr="00450EB3">
        <w:rPr>
          <w:color w:val="212121"/>
          <w:szCs w:val="20"/>
          <w:lang w:val="en-US"/>
        </w:rPr>
        <w:t xml:space="preserve"> </w:t>
      </w:r>
      <w:proofErr w:type="spellStart"/>
      <w:r w:rsidRPr="00450EB3">
        <w:rPr>
          <w:color w:val="212121"/>
          <w:szCs w:val="20"/>
          <w:lang w:val="en-US"/>
        </w:rPr>
        <w:t>koji</w:t>
      </w:r>
      <w:proofErr w:type="spellEnd"/>
      <w:r w:rsidRPr="00450EB3">
        <w:rPr>
          <w:color w:val="212121"/>
          <w:szCs w:val="20"/>
          <w:lang w:val="en-US"/>
        </w:rPr>
        <w:t xml:space="preserve"> se </w:t>
      </w:r>
      <w:proofErr w:type="spellStart"/>
      <w:r w:rsidRPr="00450EB3">
        <w:rPr>
          <w:color w:val="212121"/>
          <w:szCs w:val="20"/>
          <w:lang w:val="en-US"/>
        </w:rPr>
        <w:t>okružuju</w:t>
      </w:r>
      <w:proofErr w:type="spellEnd"/>
      <w:r w:rsidRPr="00450EB3">
        <w:rPr>
          <w:color w:val="212121"/>
          <w:szCs w:val="20"/>
          <w:lang w:val="en-US"/>
        </w:rPr>
        <w:t xml:space="preserve"> </w:t>
      </w:r>
      <w:proofErr w:type="spellStart"/>
      <w:proofErr w:type="gramStart"/>
      <w:r>
        <w:rPr>
          <w:color w:val="212121"/>
          <w:szCs w:val="20"/>
          <w:lang w:val="en-US"/>
        </w:rPr>
        <w:t>sa</w:t>
      </w:r>
      <w:proofErr w:type="spellEnd"/>
      <w:proofErr w:type="gramEnd"/>
      <w:r>
        <w:rPr>
          <w:color w:val="212121"/>
          <w:szCs w:val="20"/>
          <w:lang w:val="en-US"/>
        </w:rPr>
        <w:t xml:space="preserve"> </w:t>
      </w:r>
      <w:proofErr w:type="spellStart"/>
      <w:r>
        <w:rPr>
          <w:color w:val="212121"/>
          <w:szCs w:val="20"/>
          <w:lang w:val="en-US"/>
        </w:rPr>
        <w:t>okolnim</w:t>
      </w:r>
      <w:proofErr w:type="spellEnd"/>
      <w:r>
        <w:rPr>
          <w:color w:val="212121"/>
          <w:szCs w:val="20"/>
          <w:lang w:val="en-US"/>
        </w:rPr>
        <w:t xml:space="preserve"> </w:t>
      </w:r>
      <w:proofErr w:type="spellStart"/>
      <w:r>
        <w:rPr>
          <w:color w:val="212121"/>
          <w:szCs w:val="20"/>
          <w:lang w:val="en-US"/>
        </w:rPr>
        <w:t>selima</w:t>
      </w:r>
      <w:proofErr w:type="spellEnd"/>
      <w:r w:rsidRPr="00450EB3">
        <w:rPr>
          <w:color w:val="212121"/>
          <w:szCs w:val="20"/>
          <w:lang w:val="en-US"/>
        </w:rPr>
        <w:t>.</w:t>
      </w:r>
    </w:p>
    <w:p w:rsidR="00450EB3" w:rsidRDefault="00450EB3" w:rsidP="00450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zCs w:val="20"/>
          <w:lang w:val="en-US"/>
        </w:rPr>
      </w:pPr>
    </w:p>
    <w:p w:rsidR="006A514C" w:rsidRPr="00450EB3" w:rsidRDefault="006A514C" w:rsidP="00450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zCs w:val="20"/>
          <w:lang w:val="en-US"/>
        </w:rPr>
      </w:pPr>
    </w:p>
    <w:p w:rsidR="00310E18" w:rsidRPr="005E4F46" w:rsidRDefault="00E77C42" w:rsidP="00310E18">
      <w:pPr>
        <w:pStyle w:val="Heading5"/>
      </w:pPr>
      <w:r>
        <w:lastRenderedPageBreak/>
        <w:t>Cetvrta zona</w:t>
      </w:r>
      <w:r w:rsidR="00310E18" w:rsidRPr="005E4F46">
        <w:t xml:space="preserve"> IV</w:t>
      </w:r>
    </w:p>
    <w:p w:rsidR="00310E18" w:rsidRDefault="00310E18" w:rsidP="00310E18">
      <w:pPr>
        <w:jc w:val="both"/>
        <w:rPr>
          <w:bCs/>
          <w:color w:val="000000"/>
        </w:rPr>
      </w:pPr>
    </w:p>
    <w:p w:rsidR="00310E18" w:rsidRDefault="00E77C42" w:rsidP="00310E18">
      <w:pPr>
        <w:jc w:val="both"/>
      </w:pPr>
      <w:r>
        <w:rPr>
          <w:rFonts w:asciiTheme="minorHAnsi" w:hAnsiTheme="minorHAnsi"/>
          <w:b/>
        </w:rPr>
        <w:t>Ukljucuje ova sela</w:t>
      </w:r>
      <w:r>
        <w:t>; Malisevo</w:t>
      </w:r>
      <w:r w:rsidR="00310E18">
        <w:t>, Ugl</w:t>
      </w:r>
      <w:r w:rsidR="00D651AA">
        <w:t>j</w:t>
      </w:r>
      <w:r w:rsidR="00310E18">
        <w:t>ar</w:t>
      </w:r>
      <w:r>
        <w:t xml:space="preserve">e, </w:t>
      </w:r>
      <w:r w:rsidR="00D651AA">
        <w:t>Podgradje,</w:t>
      </w:r>
      <w:r w:rsidR="00310E18">
        <w:t xml:space="preserve"> Kmetovc</w:t>
      </w:r>
      <w:r w:rsidR="00D651AA">
        <w:t>e, Dobercane, Petrit, Prilepnica</w:t>
      </w:r>
      <w:r w:rsidR="00310E18">
        <w:t>, Bresal</w:t>
      </w:r>
      <w:r w:rsidR="00D651AA">
        <w:t>j</w:t>
      </w:r>
      <w:r w:rsidR="00310E18">
        <w:t>c</w:t>
      </w:r>
      <w:r w:rsidR="00D651AA">
        <w:t>e</w:t>
      </w:r>
      <w:r w:rsidR="00310E18" w:rsidRPr="0094704C">
        <w:t>,</w:t>
      </w:r>
      <w:r w:rsidR="00D651AA">
        <w:t xml:space="preserve"> Donji Ljivoc</w:t>
      </w:r>
      <w:r w:rsidR="00310E18" w:rsidRPr="0094704C">
        <w:t>,</w:t>
      </w:r>
      <w:r w:rsidR="00D651AA">
        <w:t xml:space="preserve"> Gornji Ljivoc</w:t>
      </w:r>
      <w:r w:rsidR="00310E18" w:rsidRPr="0094704C">
        <w:t>,</w:t>
      </w:r>
      <w:r w:rsidR="00D651AA">
        <w:t xml:space="preserve"> Cernica, Ladovo</w:t>
      </w:r>
      <w:r w:rsidR="00310E18" w:rsidRPr="0094704C">
        <w:t>,</w:t>
      </w:r>
      <w:r w:rsidR="00310E18">
        <w:t xml:space="preserve"> </w:t>
      </w:r>
      <w:r w:rsidR="00D651AA">
        <w:t>Zegra</w:t>
      </w:r>
      <w:r w:rsidR="00310E18" w:rsidRPr="0094704C">
        <w:t>,</w:t>
      </w:r>
      <w:r w:rsidR="00310E18">
        <w:t xml:space="preserve"> </w:t>
      </w:r>
      <w:r w:rsidR="00D651AA">
        <w:t>Lastica, Hadz</w:t>
      </w:r>
      <w:r w:rsidR="00310E18" w:rsidRPr="0094704C">
        <w:t>aj,</w:t>
      </w:r>
      <w:r w:rsidR="00310E18">
        <w:t xml:space="preserve"> </w:t>
      </w:r>
      <w:r w:rsidR="00D651AA">
        <w:t>Nosale</w:t>
      </w:r>
      <w:r w:rsidR="00310E18" w:rsidRPr="0094704C">
        <w:t>,</w:t>
      </w:r>
      <w:r w:rsidR="00310E18">
        <w:t xml:space="preserve"> </w:t>
      </w:r>
      <w:r w:rsidR="00D651AA">
        <w:t>Pones</w:t>
      </w:r>
      <w:r w:rsidR="00310E18" w:rsidRPr="0094704C">
        <w:t>,</w:t>
      </w:r>
      <w:r w:rsidR="00310E18">
        <w:t xml:space="preserve"> D</w:t>
      </w:r>
      <w:r w:rsidR="00310E18" w:rsidRPr="0094704C">
        <w:t>emiraj,</w:t>
      </w:r>
      <w:r w:rsidR="00310E18">
        <w:t xml:space="preserve"> Ve</w:t>
      </w:r>
      <w:r w:rsidR="00D651AA">
        <w:t>lekinca</w:t>
      </w:r>
      <w:r w:rsidR="00310E18" w:rsidRPr="0094704C">
        <w:t>,</w:t>
      </w:r>
      <w:r w:rsidR="00310E18">
        <w:t xml:space="preserve"> </w:t>
      </w:r>
      <w:r>
        <w:t>Silovo</w:t>
      </w:r>
    </w:p>
    <w:p w:rsidR="00310E18" w:rsidRDefault="00310E18" w:rsidP="00310E18">
      <w:pPr>
        <w:jc w:val="both"/>
      </w:pPr>
    </w:p>
    <w:p w:rsidR="00310E18" w:rsidRDefault="00310E18" w:rsidP="00310E18">
      <w:pPr>
        <w:jc w:val="both"/>
        <w:rPr>
          <w:bCs/>
          <w:color w:val="000000"/>
        </w:rPr>
      </w:pPr>
    </w:p>
    <w:p w:rsidR="00310E18" w:rsidRPr="0075063B" w:rsidRDefault="00E34139" w:rsidP="00310E18">
      <w:pPr>
        <w:pStyle w:val="Heading4"/>
      </w:pPr>
      <w:r>
        <w:t xml:space="preserve">Peta zona </w:t>
      </w:r>
      <w:r w:rsidR="00310E18">
        <w:t>V</w:t>
      </w:r>
    </w:p>
    <w:p w:rsidR="00310E18" w:rsidRDefault="00D651AA" w:rsidP="00E34139">
      <w:pPr>
        <w:jc w:val="both"/>
      </w:pPr>
      <w:r>
        <w:rPr>
          <w:rFonts w:asciiTheme="minorHAnsi" w:hAnsiTheme="minorHAnsi"/>
          <w:b/>
        </w:rPr>
        <w:t>Ukljucuje ova sela</w:t>
      </w:r>
      <w:r w:rsidR="00310E18">
        <w:t>; B</w:t>
      </w:r>
      <w:r>
        <w:t>ilince</w:t>
      </w:r>
      <w:r w:rsidR="00310E18" w:rsidRPr="0094704C">
        <w:t>,</w:t>
      </w:r>
      <w:r w:rsidR="00310E18">
        <w:t xml:space="preserve"> B</w:t>
      </w:r>
      <w:r w:rsidR="00310E18" w:rsidRPr="0094704C">
        <w:t>ukovik,</w:t>
      </w:r>
      <w:r w:rsidR="00310E18">
        <w:t xml:space="preserve"> C</w:t>
      </w:r>
      <w:r w:rsidR="00310E18" w:rsidRPr="0094704C">
        <w:t>apar,</w:t>
      </w:r>
      <w:r w:rsidR="00310E18">
        <w:t xml:space="preserve"> B</w:t>
      </w:r>
      <w:r>
        <w:t>urince</w:t>
      </w:r>
      <w:r w:rsidR="00310E18" w:rsidRPr="0094704C">
        <w:t>,</w:t>
      </w:r>
      <w:r w:rsidR="00310E18">
        <w:t xml:space="preserve"> </w:t>
      </w:r>
      <w:r>
        <w:t>C</w:t>
      </w:r>
      <w:r w:rsidR="00310E18" w:rsidRPr="0094704C">
        <w:t>elik,</w:t>
      </w:r>
      <w:r w:rsidR="00310E18">
        <w:t xml:space="preserve"> </w:t>
      </w:r>
      <w:r w:rsidR="00310E18" w:rsidRPr="0094704C">
        <w:t>Dunav,</w:t>
      </w:r>
      <w:r w:rsidR="00310E18">
        <w:t xml:space="preserve"> </w:t>
      </w:r>
      <w:r>
        <w:t>Gadis, M. Goden</w:t>
      </w:r>
      <w:r w:rsidR="00310E18" w:rsidRPr="0094704C">
        <w:t>,</w:t>
      </w:r>
      <w:r w:rsidR="00310E18">
        <w:t xml:space="preserve"> </w:t>
      </w:r>
      <w:r w:rsidR="00310E18" w:rsidRPr="0094704C">
        <w:t>Inatovc,</w:t>
      </w:r>
      <w:r>
        <w:t xml:space="preserve"> Kisno Polje</w:t>
      </w:r>
      <w:r w:rsidR="00310E18" w:rsidRPr="0094704C">
        <w:t>,</w:t>
      </w:r>
      <w:r w:rsidR="00310E18">
        <w:t xml:space="preserve"> </w:t>
      </w:r>
      <w:r>
        <w:t>Kravarica</w:t>
      </w:r>
      <w:r w:rsidR="00310E18" w:rsidRPr="0094704C">
        <w:t>,</w:t>
      </w:r>
      <w:r w:rsidR="00310E18">
        <w:t xml:space="preserve"> </w:t>
      </w:r>
      <w:r>
        <w:t>Lipovica</w:t>
      </w:r>
      <w:r w:rsidR="00310E18" w:rsidRPr="0094704C">
        <w:t>,</w:t>
      </w:r>
      <w:r>
        <w:t xml:space="preserve"> Lovce, G, Malisevo</w:t>
      </w:r>
      <w:r w:rsidR="00310E18" w:rsidRPr="0094704C">
        <w:t>,</w:t>
      </w:r>
      <w:r w:rsidR="00310E18">
        <w:t xml:space="preserve"> </w:t>
      </w:r>
      <w:r>
        <w:t>Mucibaba</w:t>
      </w:r>
      <w:r w:rsidR="00310E18" w:rsidRPr="0094704C">
        <w:t>,</w:t>
      </w:r>
      <w:r w:rsidR="00310E18">
        <w:t xml:space="preserve"> </w:t>
      </w:r>
      <w:r w:rsidR="00E34139">
        <w:t>Pidic</w:t>
      </w:r>
      <w:r w:rsidR="00310E18" w:rsidRPr="0094704C">
        <w:t>,</w:t>
      </w:r>
      <w:r w:rsidR="00310E18">
        <w:t xml:space="preserve"> </w:t>
      </w:r>
      <w:r>
        <w:t>Surl</w:t>
      </w:r>
      <w:r w:rsidR="00E34139">
        <w:t>ane</w:t>
      </w:r>
      <w:r>
        <w:t>, D. Slakovac</w:t>
      </w:r>
      <w:r w:rsidR="00310E18" w:rsidRPr="0094704C">
        <w:t>,</w:t>
      </w:r>
      <w:r w:rsidR="00310E18">
        <w:t xml:space="preserve"> </w:t>
      </w:r>
      <w:r>
        <w:t>G. Slakovac ,Stancic</w:t>
      </w:r>
      <w:r w:rsidR="00310E18" w:rsidRPr="0094704C">
        <w:t>,</w:t>
      </w:r>
      <w:r w:rsidR="00310E18">
        <w:t xml:space="preserve"> </w:t>
      </w:r>
      <w:r>
        <w:t>Stubla</w:t>
      </w:r>
      <w:r w:rsidR="00310E18" w:rsidRPr="0094704C">
        <w:t>,</w:t>
      </w:r>
      <w:r w:rsidR="00310E18">
        <w:t xml:space="preserve"> </w:t>
      </w:r>
      <w:r>
        <w:t>Vrbica</w:t>
      </w:r>
      <w:r w:rsidR="00310E18" w:rsidRPr="0094704C">
        <w:t>,</w:t>
      </w:r>
      <w:r w:rsidR="00310E18">
        <w:t xml:space="preserve"> </w:t>
      </w:r>
      <w:r>
        <w:t>Zegovacka Vrbica</w:t>
      </w:r>
      <w:r w:rsidR="00310E18" w:rsidRPr="0094704C">
        <w:t>,</w:t>
      </w:r>
      <w:r>
        <w:t xml:space="preserve"> Zegovce</w:t>
      </w:r>
      <w:r w:rsidR="00310E18" w:rsidRPr="0094704C">
        <w:t>,</w:t>
      </w:r>
      <w:r w:rsidR="00310E18">
        <w:t xml:space="preserve"> </w:t>
      </w:r>
      <w:r>
        <w:t>Vrapcic</w:t>
      </w:r>
      <w:r w:rsidR="00310E18" w:rsidRPr="0094704C">
        <w:t>,</w:t>
      </w:r>
      <w:r w:rsidR="00310E18">
        <w:t xml:space="preserve"> </w:t>
      </w:r>
      <w:r>
        <w:t>Kuredj</w:t>
      </w:r>
      <w:r w:rsidR="00310E18" w:rsidRPr="0094704C">
        <w:t>,</w:t>
      </w:r>
      <w:r w:rsidR="00310E18">
        <w:t xml:space="preserve"> </w:t>
      </w:r>
      <w:r w:rsidR="00310E18" w:rsidRPr="0094704C">
        <w:t>Terziaj,</w:t>
      </w:r>
      <w:r w:rsidR="00310E18" w:rsidRPr="00212282">
        <w:t xml:space="preserve"> </w:t>
      </w:r>
      <w:r>
        <w:t>Seliste</w:t>
      </w:r>
      <w:r w:rsidR="00310E18" w:rsidRPr="0094704C">
        <w:t>,</w:t>
      </w:r>
      <w:r w:rsidR="00310E18">
        <w:t xml:space="preserve"> </w:t>
      </w:r>
      <w:r>
        <w:t>Slubica</w:t>
      </w:r>
    </w:p>
    <w:p w:rsidR="00D651AA" w:rsidRDefault="00D651AA" w:rsidP="00E34139">
      <w:pPr>
        <w:jc w:val="both"/>
      </w:pPr>
    </w:p>
    <w:p w:rsidR="00310E18" w:rsidRPr="00F6632B" w:rsidRDefault="0016133F" w:rsidP="00310E18">
      <w:pPr>
        <w:jc w:val="center"/>
        <w:rPr>
          <w:b/>
          <w:bCs/>
        </w:rPr>
      </w:pPr>
      <w:proofErr w:type="spellStart"/>
      <w:r>
        <w:rPr>
          <w:b/>
          <w:bCs/>
        </w:rPr>
        <w:t>Clan</w:t>
      </w:r>
      <w:proofErr w:type="spellEnd"/>
      <w:r>
        <w:rPr>
          <w:b/>
          <w:bCs/>
        </w:rPr>
        <w:t xml:space="preserve"> </w:t>
      </w:r>
      <w:r w:rsidR="00310E18">
        <w:rPr>
          <w:b/>
          <w:bCs/>
        </w:rPr>
        <w:t>3</w:t>
      </w:r>
    </w:p>
    <w:p w:rsidR="00310E18" w:rsidRDefault="00E77C42" w:rsidP="00310E18">
      <w:pPr>
        <w:jc w:val="center"/>
        <w:rPr>
          <w:b/>
          <w:bCs/>
        </w:rPr>
      </w:pPr>
      <w:r>
        <w:rPr>
          <w:b/>
          <w:bCs/>
        </w:rPr>
        <w:t>Poreske norme</w:t>
      </w:r>
    </w:p>
    <w:p w:rsidR="00310E18" w:rsidRDefault="00310E18" w:rsidP="00310E18">
      <w:pPr>
        <w:jc w:val="center"/>
        <w:rPr>
          <w:b/>
          <w:bCs/>
        </w:rPr>
      </w:pPr>
    </w:p>
    <w:p w:rsidR="00310E18" w:rsidRDefault="00E77C42" w:rsidP="00310E18">
      <w:pPr>
        <w:jc w:val="both"/>
        <w:rPr>
          <w:color w:val="212121"/>
          <w:shd w:val="clear" w:color="auto" w:fill="FFFFFF"/>
        </w:rPr>
      </w:pPr>
      <w:r w:rsidRPr="00E77C42">
        <w:br/>
      </w:r>
      <w:r w:rsidRPr="00E77C42">
        <w:rPr>
          <w:color w:val="212121"/>
          <w:shd w:val="clear" w:color="auto" w:fill="FFFFFF"/>
        </w:rPr>
        <w:t>Shodno Zakonu br. 06 / L-005 o porezu na nepokretnu imovinu, član 9, stav 1, stavovi 1.1 do 1.9, Skupština opštine Gnjilane utvrđuje poreske norme za 2019. godinu za sve kategorije imovine, izuzev kategorije javne imovine , kako sledi:</w:t>
      </w:r>
    </w:p>
    <w:p w:rsidR="00E77C42" w:rsidRPr="00E77C42" w:rsidRDefault="00E77C42" w:rsidP="00310E1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1"/>
        <w:gridCol w:w="3699"/>
      </w:tblGrid>
      <w:tr w:rsidR="00310E18" w:rsidRPr="00F6632B" w:rsidTr="00105968">
        <w:trPr>
          <w:trHeight w:val="197"/>
        </w:trPr>
        <w:tc>
          <w:tcPr>
            <w:tcW w:w="4641" w:type="dxa"/>
          </w:tcPr>
          <w:p w:rsidR="00310E18" w:rsidRPr="00F6632B" w:rsidRDefault="00E77C42" w:rsidP="001059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Kategorija imovine</w:t>
            </w:r>
          </w:p>
        </w:tc>
        <w:tc>
          <w:tcPr>
            <w:tcW w:w="3699" w:type="dxa"/>
          </w:tcPr>
          <w:p w:rsidR="00310E18" w:rsidRPr="00F6632B" w:rsidRDefault="00E77C42" w:rsidP="00105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Poreska norma</w:t>
            </w:r>
            <w:r w:rsidR="00310E18">
              <w:rPr>
                <w:b/>
                <w:bCs/>
              </w:rPr>
              <w:t xml:space="preserve"> %</w:t>
            </w:r>
          </w:p>
        </w:tc>
      </w:tr>
      <w:tr w:rsidR="00310E18" w:rsidRPr="00F6632B" w:rsidTr="00105968">
        <w:trPr>
          <w:trHeight w:val="368"/>
        </w:trPr>
        <w:tc>
          <w:tcPr>
            <w:tcW w:w="4641" w:type="dxa"/>
            <w:vAlign w:val="center"/>
          </w:tcPr>
          <w:p w:rsidR="00310E18" w:rsidRPr="00F6632B" w:rsidRDefault="00D96AF4" w:rsidP="00105968">
            <w:r>
              <w:rPr>
                <w:bCs/>
                <w:iCs/>
                <w:noProof/>
                <w:lang w:val="hr-HR" w:eastAsia="en-GB"/>
              </w:rPr>
              <w:t>Za poljoprivredne jedinice parcela</w:t>
            </w:r>
          </w:p>
        </w:tc>
        <w:tc>
          <w:tcPr>
            <w:tcW w:w="3699" w:type="dxa"/>
          </w:tcPr>
          <w:p w:rsidR="00310E18" w:rsidRPr="00F6632B" w:rsidRDefault="00310E18" w:rsidP="00105968">
            <w:pPr>
              <w:jc w:val="center"/>
            </w:pPr>
            <w:r>
              <w:t>0.15</w:t>
            </w:r>
          </w:p>
        </w:tc>
      </w:tr>
      <w:tr w:rsidR="00310E18" w:rsidRPr="00F6632B" w:rsidTr="00105968">
        <w:trPr>
          <w:trHeight w:val="341"/>
        </w:trPr>
        <w:tc>
          <w:tcPr>
            <w:tcW w:w="4641" w:type="dxa"/>
            <w:vAlign w:val="center"/>
          </w:tcPr>
          <w:p w:rsidR="00310E18" w:rsidRPr="00F6632B" w:rsidRDefault="00D96AF4" w:rsidP="00105968">
            <w:r>
              <w:rPr>
                <w:bCs/>
                <w:iCs/>
                <w:noProof/>
                <w:lang w:val="hr-HR" w:eastAsia="en-GB"/>
              </w:rPr>
              <w:t>Za poljoprivredne jedinice objekata</w:t>
            </w:r>
          </w:p>
        </w:tc>
        <w:tc>
          <w:tcPr>
            <w:tcW w:w="3699" w:type="dxa"/>
          </w:tcPr>
          <w:p w:rsidR="00310E18" w:rsidRPr="00F6632B" w:rsidRDefault="00310E18" w:rsidP="00105968">
            <w:pPr>
              <w:jc w:val="center"/>
            </w:pPr>
            <w:r>
              <w:t>0.15</w:t>
            </w:r>
          </w:p>
        </w:tc>
      </w:tr>
      <w:tr w:rsidR="00310E18" w:rsidRPr="00F6632B" w:rsidTr="00105968">
        <w:trPr>
          <w:trHeight w:val="350"/>
        </w:trPr>
        <w:tc>
          <w:tcPr>
            <w:tcW w:w="4641" w:type="dxa"/>
            <w:vAlign w:val="center"/>
          </w:tcPr>
          <w:p w:rsidR="00310E18" w:rsidRPr="00F6632B" w:rsidRDefault="00D96AF4" w:rsidP="00105968">
            <w:r>
              <w:rPr>
                <w:bCs/>
                <w:iCs/>
                <w:noProof/>
                <w:lang w:val="hr-HR" w:eastAsia="en-GB"/>
              </w:rPr>
              <w:t>Za poljoprivredne jednice sume</w:t>
            </w:r>
          </w:p>
        </w:tc>
        <w:tc>
          <w:tcPr>
            <w:tcW w:w="3699" w:type="dxa"/>
          </w:tcPr>
          <w:p w:rsidR="00310E18" w:rsidRPr="00F6632B" w:rsidRDefault="00310E18" w:rsidP="00105968">
            <w:pPr>
              <w:jc w:val="center"/>
            </w:pPr>
            <w:r>
              <w:t>0.15</w:t>
            </w:r>
          </w:p>
        </w:tc>
      </w:tr>
      <w:tr w:rsidR="00310E18" w:rsidRPr="00F6632B" w:rsidTr="00105968">
        <w:trPr>
          <w:trHeight w:val="359"/>
        </w:trPr>
        <w:tc>
          <w:tcPr>
            <w:tcW w:w="4641" w:type="dxa"/>
            <w:vAlign w:val="center"/>
          </w:tcPr>
          <w:p w:rsidR="00310E18" w:rsidRPr="00F6632B" w:rsidRDefault="00D96AF4" w:rsidP="00105968">
            <w:r>
              <w:rPr>
                <w:bCs/>
                <w:iCs/>
                <w:noProof/>
                <w:lang w:val="hr-HR" w:eastAsia="en-GB"/>
              </w:rPr>
              <w:t>Za rezidencijalne jedinice parcela</w:t>
            </w:r>
          </w:p>
        </w:tc>
        <w:tc>
          <w:tcPr>
            <w:tcW w:w="3699" w:type="dxa"/>
          </w:tcPr>
          <w:p w:rsidR="00310E18" w:rsidRPr="00F6632B" w:rsidRDefault="00310E18" w:rsidP="00105968">
            <w:pPr>
              <w:jc w:val="center"/>
            </w:pPr>
            <w:r>
              <w:t>0.15</w:t>
            </w:r>
          </w:p>
        </w:tc>
      </w:tr>
      <w:tr w:rsidR="00310E18" w:rsidRPr="00F6632B" w:rsidTr="00105968">
        <w:trPr>
          <w:trHeight w:val="350"/>
        </w:trPr>
        <w:tc>
          <w:tcPr>
            <w:tcW w:w="4641" w:type="dxa"/>
            <w:vAlign w:val="center"/>
          </w:tcPr>
          <w:p w:rsidR="00310E18" w:rsidRPr="00F6632B" w:rsidRDefault="00D96AF4" w:rsidP="00105968">
            <w:r>
              <w:rPr>
                <w:bCs/>
                <w:iCs/>
                <w:noProof/>
                <w:lang w:val="hr-HR" w:eastAsia="en-GB"/>
              </w:rPr>
              <w:t>Za rezidencijalne jedinice objekata</w:t>
            </w:r>
          </w:p>
        </w:tc>
        <w:tc>
          <w:tcPr>
            <w:tcW w:w="3699" w:type="dxa"/>
          </w:tcPr>
          <w:p w:rsidR="00310E18" w:rsidRPr="00F6632B" w:rsidRDefault="00310E18" w:rsidP="00105968">
            <w:pPr>
              <w:jc w:val="center"/>
            </w:pPr>
            <w:r>
              <w:t>0.15</w:t>
            </w:r>
          </w:p>
        </w:tc>
      </w:tr>
      <w:tr w:rsidR="00310E18" w:rsidRPr="00F6632B" w:rsidTr="00105968">
        <w:trPr>
          <w:trHeight w:val="341"/>
        </w:trPr>
        <w:tc>
          <w:tcPr>
            <w:tcW w:w="4641" w:type="dxa"/>
            <w:vAlign w:val="center"/>
          </w:tcPr>
          <w:p w:rsidR="00310E18" w:rsidRPr="00F6632B" w:rsidRDefault="00D96AF4" w:rsidP="00105968">
            <w:r>
              <w:rPr>
                <w:bCs/>
                <w:iCs/>
                <w:noProof/>
                <w:lang w:val="hr-HR" w:eastAsia="en-GB"/>
              </w:rPr>
              <w:t>Za komercijalne jedinice parcela</w:t>
            </w:r>
          </w:p>
        </w:tc>
        <w:tc>
          <w:tcPr>
            <w:tcW w:w="3699" w:type="dxa"/>
          </w:tcPr>
          <w:p w:rsidR="00310E18" w:rsidRPr="00F6632B" w:rsidRDefault="00310E18" w:rsidP="00105968">
            <w:pPr>
              <w:jc w:val="center"/>
            </w:pPr>
            <w:r>
              <w:t>0.17</w:t>
            </w:r>
          </w:p>
        </w:tc>
      </w:tr>
      <w:tr w:rsidR="00310E18" w:rsidRPr="00F6632B" w:rsidTr="00105968">
        <w:trPr>
          <w:trHeight w:val="350"/>
        </w:trPr>
        <w:tc>
          <w:tcPr>
            <w:tcW w:w="4641" w:type="dxa"/>
            <w:vAlign w:val="center"/>
          </w:tcPr>
          <w:p w:rsidR="00310E18" w:rsidRPr="00F6632B" w:rsidRDefault="00D96AF4" w:rsidP="00105968">
            <w:r>
              <w:rPr>
                <w:bCs/>
                <w:iCs/>
                <w:noProof/>
                <w:lang w:val="hr-HR" w:eastAsia="en-GB"/>
              </w:rPr>
              <w:t>Za komercijalne jedinice objekata</w:t>
            </w:r>
          </w:p>
        </w:tc>
        <w:tc>
          <w:tcPr>
            <w:tcW w:w="3699" w:type="dxa"/>
          </w:tcPr>
          <w:p w:rsidR="00310E18" w:rsidRPr="00F6632B" w:rsidRDefault="00310E18" w:rsidP="00105968">
            <w:pPr>
              <w:jc w:val="center"/>
            </w:pPr>
            <w:r>
              <w:t>0.17</w:t>
            </w:r>
          </w:p>
        </w:tc>
      </w:tr>
      <w:tr w:rsidR="00310E18" w:rsidRPr="00F6632B" w:rsidTr="00105968">
        <w:trPr>
          <w:trHeight w:val="359"/>
        </w:trPr>
        <w:tc>
          <w:tcPr>
            <w:tcW w:w="4641" w:type="dxa"/>
            <w:vAlign w:val="center"/>
          </w:tcPr>
          <w:p w:rsidR="00310E18" w:rsidRPr="00F6632B" w:rsidRDefault="00D96AF4" w:rsidP="00105968">
            <w:r>
              <w:rPr>
                <w:bCs/>
                <w:iCs/>
                <w:noProof/>
                <w:lang w:val="hr-HR" w:eastAsia="en-GB"/>
              </w:rPr>
              <w:t>Za industrijske jedinice parcela</w:t>
            </w:r>
          </w:p>
        </w:tc>
        <w:tc>
          <w:tcPr>
            <w:tcW w:w="3699" w:type="dxa"/>
          </w:tcPr>
          <w:p w:rsidR="00310E18" w:rsidRPr="00F6632B" w:rsidRDefault="00310E18" w:rsidP="00105968">
            <w:pPr>
              <w:jc w:val="center"/>
            </w:pPr>
            <w:r>
              <w:t>0.15</w:t>
            </w:r>
          </w:p>
        </w:tc>
      </w:tr>
      <w:tr w:rsidR="00310E18" w:rsidRPr="00F6632B" w:rsidTr="00105968">
        <w:trPr>
          <w:trHeight w:val="350"/>
        </w:trPr>
        <w:tc>
          <w:tcPr>
            <w:tcW w:w="4641" w:type="dxa"/>
            <w:vAlign w:val="center"/>
          </w:tcPr>
          <w:p w:rsidR="00310E18" w:rsidRPr="00F6632B" w:rsidRDefault="008748B8" w:rsidP="00105968">
            <w:r>
              <w:rPr>
                <w:bCs/>
                <w:iCs/>
                <w:noProof/>
                <w:lang w:val="hr-HR" w:eastAsia="en-GB"/>
              </w:rPr>
              <w:t>Za industrijske jedinice objekata</w:t>
            </w:r>
          </w:p>
        </w:tc>
        <w:tc>
          <w:tcPr>
            <w:tcW w:w="3699" w:type="dxa"/>
          </w:tcPr>
          <w:p w:rsidR="00310E18" w:rsidRPr="00F6632B" w:rsidRDefault="00310E18" w:rsidP="00105968">
            <w:pPr>
              <w:jc w:val="center"/>
            </w:pPr>
            <w:r>
              <w:t>0.15</w:t>
            </w:r>
          </w:p>
        </w:tc>
      </w:tr>
    </w:tbl>
    <w:p w:rsidR="00310E18" w:rsidRPr="00F6632B" w:rsidRDefault="00310E18" w:rsidP="00310E18">
      <w:pPr>
        <w:rPr>
          <w:b/>
          <w:bCs/>
        </w:rPr>
      </w:pPr>
      <w:r w:rsidRPr="00F6632B">
        <w:rPr>
          <w:b/>
          <w:bCs/>
        </w:rPr>
        <w:t xml:space="preserve"> </w:t>
      </w:r>
    </w:p>
    <w:p w:rsidR="00310E18" w:rsidRDefault="00E34139" w:rsidP="00310E18">
      <w:pPr>
        <w:jc w:val="center"/>
        <w:rPr>
          <w:b/>
          <w:bCs/>
        </w:rPr>
      </w:pPr>
      <w:r>
        <w:rPr>
          <w:b/>
          <w:bCs/>
        </w:rPr>
        <w:t xml:space="preserve">Clan </w:t>
      </w:r>
      <w:r w:rsidR="00310E18">
        <w:rPr>
          <w:b/>
          <w:bCs/>
        </w:rPr>
        <w:t>4</w:t>
      </w:r>
    </w:p>
    <w:p w:rsidR="00310E18" w:rsidRPr="00F6632B" w:rsidRDefault="008748B8" w:rsidP="008748B8">
      <w:pPr>
        <w:ind w:left="2880" w:firstLine="720"/>
        <w:rPr>
          <w:b/>
          <w:bCs/>
        </w:rPr>
      </w:pPr>
      <w:r>
        <w:rPr>
          <w:b/>
          <w:bCs/>
        </w:rPr>
        <w:t>Stavljanje van snage</w:t>
      </w:r>
    </w:p>
    <w:p w:rsidR="00310E18" w:rsidRDefault="00310E18" w:rsidP="00310E18">
      <w:pPr>
        <w:pStyle w:val="BodyTextIndent"/>
        <w:ind w:left="0"/>
      </w:pPr>
      <w:r>
        <w:t xml:space="preserve"> </w:t>
      </w:r>
      <w:r w:rsidR="008748B8">
        <w:t>Ovaj Pravilnik stavlja van snage Pravilnik b</w:t>
      </w:r>
      <w:r w:rsidR="00E34139">
        <w:t>r. 016-64724, datë 29.06.2017</w:t>
      </w:r>
      <w:r>
        <w:t>.</w:t>
      </w:r>
    </w:p>
    <w:p w:rsidR="00310E18" w:rsidRDefault="00310E18" w:rsidP="00310E18">
      <w:pPr>
        <w:pStyle w:val="BodyTextIndent"/>
        <w:ind w:left="0"/>
      </w:pPr>
    </w:p>
    <w:p w:rsidR="00310E18" w:rsidRDefault="00E34139" w:rsidP="00310E18">
      <w:pPr>
        <w:jc w:val="center"/>
        <w:rPr>
          <w:b/>
          <w:bCs/>
        </w:rPr>
      </w:pPr>
      <w:r>
        <w:rPr>
          <w:b/>
          <w:bCs/>
        </w:rPr>
        <w:t>Clan</w:t>
      </w:r>
      <w:r w:rsidR="00310E18">
        <w:rPr>
          <w:b/>
          <w:bCs/>
        </w:rPr>
        <w:t xml:space="preserve"> 5</w:t>
      </w:r>
    </w:p>
    <w:p w:rsidR="00310E18" w:rsidRPr="00F6632B" w:rsidRDefault="00E34139" w:rsidP="00310E18">
      <w:pPr>
        <w:jc w:val="center"/>
        <w:rPr>
          <w:b/>
          <w:bCs/>
        </w:rPr>
      </w:pPr>
      <w:r>
        <w:rPr>
          <w:b/>
          <w:bCs/>
        </w:rPr>
        <w:t>Stupanje na snagu</w:t>
      </w:r>
    </w:p>
    <w:p w:rsidR="00310E18" w:rsidRPr="00F6632B" w:rsidRDefault="00310E18" w:rsidP="00310E18">
      <w:pPr>
        <w:pStyle w:val="BodyTextIndent"/>
        <w:ind w:left="0"/>
      </w:pPr>
    </w:p>
    <w:p w:rsidR="00310E18" w:rsidRPr="00F6632B" w:rsidRDefault="008748B8" w:rsidP="00310E18">
      <w:pPr>
        <w:pStyle w:val="BodyTextIndent"/>
        <w:ind w:left="0"/>
      </w:pPr>
      <w:r>
        <w:t>Ovaj Pravilnik stupa na snagu 8 dana nakon usvajanja od strane Skupstine Opstine i pocet ce sa upotrebom od 1 januara 2019 godine</w:t>
      </w:r>
      <w:r w:rsidR="00310E18" w:rsidRPr="00F6632B">
        <w:t>.</w:t>
      </w:r>
    </w:p>
    <w:p w:rsidR="00310E18" w:rsidRPr="00F6632B" w:rsidRDefault="00310E18" w:rsidP="00310E18">
      <w:pPr>
        <w:pStyle w:val="BodyTextIndent"/>
        <w:ind w:left="0" w:firstLine="720"/>
      </w:pPr>
    </w:p>
    <w:p w:rsidR="00310E18" w:rsidRDefault="00310E18" w:rsidP="00310E18">
      <w:pPr>
        <w:ind w:left="720"/>
        <w:rPr>
          <w:i/>
        </w:rPr>
      </w:pPr>
    </w:p>
    <w:p w:rsidR="00310E18" w:rsidRDefault="00310E18" w:rsidP="00310E18">
      <w:pPr>
        <w:ind w:left="720"/>
        <w:rPr>
          <w:i/>
        </w:rPr>
      </w:pPr>
    </w:p>
    <w:p w:rsidR="00310E18" w:rsidRPr="000A7BBB" w:rsidRDefault="006A514C" w:rsidP="00310E18">
      <w:pPr>
        <w:pStyle w:val="Heading6"/>
        <w:rPr>
          <w:i w:val="0"/>
        </w:rPr>
      </w:pPr>
      <w:r>
        <w:rPr>
          <w:i w:val="0"/>
        </w:rPr>
        <w:t>01.br.</w:t>
      </w:r>
      <w:r>
        <w:rPr>
          <w:i w:val="0"/>
          <w:u w:val="single"/>
        </w:rPr>
        <w:t xml:space="preserve">016-126665     </w:t>
      </w:r>
      <w:r w:rsidR="00310E18" w:rsidRPr="000A7BBB">
        <w:rPr>
          <w:i w:val="0"/>
        </w:rPr>
        <w:tab/>
      </w:r>
      <w:r w:rsidR="00310E18" w:rsidRPr="000A7BBB">
        <w:rPr>
          <w:i w:val="0"/>
        </w:rPr>
        <w:tab/>
      </w:r>
      <w:r w:rsidR="00310E18" w:rsidRPr="000A7BBB">
        <w:rPr>
          <w:i w:val="0"/>
        </w:rPr>
        <w:tab/>
      </w:r>
      <w:r w:rsidR="00310E18" w:rsidRPr="000A7BBB">
        <w:rPr>
          <w:i w:val="0"/>
        </w:rPr>
        <w:tab/>
      </w:r>
      <w:r>
        <w:rPr>
          <w:i w:val="0"/>
        </w:rPr>
        <w:t xml:space="preserve">                           </w:t>
      </w:r>
      <w:proofErr w:type="spellStart"/>
      <w:r w:rsidR="008748B8">
        <w:rPr>
          <w:i w:val="0"/>
        </w:rPr>
        <w:t>Predsedavajuca</w:t>
      </w:r>
      <w:proofErr w:type="spellEnd"/>
      <w:r w:rsidR="008748B8">
        <w:rPr>
          <w:i w:val="0"/>
        </w:rPr>
        <w:t xml:space="preserve"> </w:t>
      </w:r>
      <w:proofErr w:type="spellStart"/>
      <w:r w:rsidR="008748B8">
        <w:rPr>
          <w:i w:val="0"/>
        </w:rPr>
        <w:t>Skupstine</w:t>
      </w:r>
      <w:proofErr w:type="spellEnd"/>
    </w:p>
    <w:p w:rsidR="008748B8" w:rsidRDefault="008748B8" w:rsidP="00310E18">
      <w:proofErr w:type="spellStart"/>
      <w:r>
        <w:t>Gnjilane</w:t>
      </w:r>
      <w:proofErr w:type="spellEnd"/>
      <w:r w:rsidR="006A514C">
        <w:t>, 26.</w:t>
      </w:r>
      <w:r w:rsidR="00310E18">
        <w:t>11.2018</w:t>
      </w:r>
      <w:r>
        <w:tab/>
      </w:r>
      <w:r>
        <w:tab/>
      </w:r>
      <w:r>
        <w:tab/>
      </w:r>
      <w:r>
        <w:tab/>
      </w:r>
      <w:r>
        <w:tab/>
      </w:r>
      <w:r w:rsidR="006A514C">
        <w:t xml:space="preserve">          </w:t>
      </w:r>
      <w:bookmarkStart w:id="0" w:name="_GoBack"/>
      <w:bookmarkEnd w:id="0"/>
      <w:r w:rsidR="006A514C">
        <w:t xml:space="preserve"> </w:t>
      </w:r>
      <w:r>
        <w:t>______________________</w:t>
      </w:r>
    </w:p>
    <w:p w:rsidR="00310E18" w:rsidRDefault="006A514C" w:rsidP="008748B8">
      <w:pPr>
        <w:ind w:left="4320" w:firstLine="720"/>
      </w:pPr>
      <w:r>
        <w:t xml:space="preserve">                </w:t>
      </w:r>
      <w:r w:rsidR="00310E18">
        <w:t xml:space="preserve"> </w:t>
      </w:r>
      <w:r w:rsidR="00310E18" w:rsidRPr="006A6F20">
        <w:rPr>
          <w:b/>
        </w:rPr>
        <w:t>Shpresa Kurteshi-Emini</w:t>
      </w:r>
    </w:p>
    <w:p w:rsidR="006E072C" w:rsidRDefault="006A514C">
      <w:r>
        <w:lastRenderedPageBreak/>
        <w:tab/>
      </w:r>
    </w:p>
    <w:sectPr w:rsidR="006E072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AAB"/>
    <w:multiLevelType w:val="hybridMultilevel"/>
    <w:tmpl w:val="69E8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E59A3"/>
    <w:multiLevelType w:val="multilevel"/>
    <w:tmpl w:val="07B60A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E606358"/>
    <w:multiLevelType w:val="multilevel"/>
    <w:tmpl w:val="1D2EF08C"/>
    <w:lvl w:ilvl="0">
      <w:start w:val="3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9C91799"/>
    <w:multiLevelType w:val="hybridMultilevel"/>
    <w:tmpl w:val="CA9426B6"/>
    <w:lvl w:ilvl="0" w:tplc="56EADCA6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130B4"/>
    <w:multiLevelType w:val="hybridMultilevel"/>
    <w:tmpl w:val="980EB76A"/>
    <w:lvl w:ilvl="0" w:tplc="367E0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56"/>
    <w:rsid w:val="00044958"/>
    <w:rsid w:val="0016133F"/>
    <w:rsid w:val="00310E18"/>
    <w:rsid w:val="004220B8"/>
    <w:rsid w:val="00450EB3"/>
    <w:rsid w:val="004F47BE"/>
    <w:rsid w:val="006A514C"/>
    <w:rsid w:val="006C103E"/>
    <w:rsid w:val="006E072C"/>
    <w:rsid w:val="007F2DC4"/>
    <w:rsid w:val="008748B8"/>
    <w:rsid w:val="00B875AB"/>
    <w:rsid w:val="00D651AA"/>
    <w:rsid w:val="00D96AF4"/>
    <w:rsid w:val="00E33EA5"/>
    <w:rsid w:val="00E34139"/>
    <w:rsid w:val="00E473C7"/>
    <w:rsid w:val="00E77C42"/>
    <w:rsid w:val="00EB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310E18"/>
    <w:pPr>
      <w:keepNext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0E18"/>
    <w:pPr>
      <w:keepNext/>
      <w:jc w:val="center"/>
      <w:outlineLvl w:val="1"/>
    </w:pPr>
    <w:rPr>
      <w:b/>
      <w:bCs/>
      <w:lang w:val="de-D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0E18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0E18"/>
    <w:pPr>
      <w:keepNext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0E18"/>
    <w:pPr>
      <w:keepNext/>
      <w:jc w:val="both"/>
      <w:outlineLvl w:val="4"/>
    </w:pPr>
    <w:rPr>
      <w:b/>
      <w:bCs/>
      <w:color w:val="00000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10E18"/>
    <w:pPr>
      <w:keepNext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0E18"/>
    <w:rPr>
      <w:rFonts w:ascii="Times New Roman" w:eastAsia="Times New Roman" w:hAnsi="Times New Roman" w:cs="Times New Roman"/>
      <w:b/>
      <w:bCs/>
      <w:sz w:val="36"/>
      <w:szCs w:val="24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rsid w:val="00310E18"/>
    <w:rPr>
      <w:rFonts w:ascii="Times New Roman" w:eastAsia="Times New Roman" w:hAnsi="Times New Roman" w:cs="Times New Roman"/>
      <w:b/>
      <w:bCs/>
      <w:sz w:val="24"/>
      <w:szCs w:val="24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310E18"/>
    <w:rPr>
      <w:rFonts w:ascii="Times New Roman" w:eastAsia="Times New Roman" w:hAnsi="Times New Roman" w:cs="Times New Roman"/>
      <w:b/>
      <w:bCs/>
      <w:sz w:val="24"/>
      <w:szCs w:val="24"/>
      <w:u w:val="single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310E18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rsid w:val="00310E18"/>
    <w:rPr>
      <w:rFonts w:ascii="Times New Roman" w:eastAsia="Times New Roman" w:hAnsi="Times New Roman" w:cs="Times New Roman"/>
      <w:b/>
      <w:bCs/>
      <w:color w:val="000000"/>
      <w:sz w:val="24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rsid w:val="00310E18"/>
    <w:rPr>
      <w:rFonts w:ascii="Times New Roman" w:eastAsia="Times New Roman" w:hAnsi="Times New Roman" w:cs="Times New Roman"/>
      <w:i/>
      <w:sz w:val="24"/>
      <w:szCs w:val="24"/>
      <w:lang w:val="sq-AL"/>
    </w:rPr>
  </w:style>
  <w:style w:type="paragraph" w:styleId="BodyTextIndent">
    <w:name w:val="Body Text Indent"/>
    <w:basedOn w:val="Normal"/>
    <w:link w:val="BodyTextIndentChar"/>
    <w:rsid w:val="00310E18"/>
    <w:pPr>
      <w:ind w:left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310E18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310E18"/>
    <w:pPr>
      <w:jc w:val="both"/>
    </w:pPr>
    <w:rPr>
      <w:i/>
      <w:iCs/>
    </w:rPr>
  </w:style>
  <w:style w:type="character" w:customStyle="1" w:styleId="BodyText2Char">
    <w:name w:val="Body Text 2 Char"/>
    <w:basedOn w:val="DefaultParagraphFont"/>
    <w:link w:val="BodyText2"/>
    <w:rsid w:val="00310E18"/>
    <w:rPr>
      <w:rFonts w:ascii="Times New Roman" w:eastAsia="Times New Roman" w:hAnsi="Times New Roman" w:cs="Times New Roman"/>
      <w:i/>
      <w:iCs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310E18"/>
    <w:pPr>
      <w:ind w:left="720"/>
      <w:contextualSpacing/>
    </w:pPr>
  </w:style>
  <w:style w:type="table" w:styleId="TableGrid">
    <w:name w:val="Table Grid"/>
    <w:basedOn w:val="TableNormal"/>
    <w:uiPriority w:val="39"/>
    <w:rsid w:val="00310E18"/>
    <w:pPr>
      <w:spacing w:after="0" w:line="240" w:lineRule="auto"/>
    </w:pPr>
    <w:rPr>
      <w:rFonts w:ascii="Cambria" w:hAnsi="Cambria" w:cs="Times New Roman"/>
      <w:b/>
      <w:smallCaps/>
      <w:sz w:val="56"/>
      <w:szCs w:val="56"/>
      <w:vertAlign w:val="subscri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0E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E18"/>
    <w:rPr>
      <w:rFonts w:ascii="Tahoma" w:eastAsia="Times New Roman" w:hAnsi="Tahoma" w:cs="Tahoma"/>
      <w:sz w:val="16"/>
      <w:szCs w:val="16"/>
      <w:lang w:val="sq-AL"/>
    </w:rPr>
  </w:style>
  <w:style w:type="paragraph" w:styleId="NoSpacing">
    <w:name w:val="No Spacing"/>
    <w:uiPriority w:val="1"/>
    <w:qFormat/>
    <w:rsid w:val="00310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0E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0EB3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310E18"/>
    <w:pPr>
      <w:keepNext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0E18"/>
    <w:pPr>
      <w:keepNext/>
      <w:jc w:val="center"/>
      <w:outlineLvl w:val="1"/>
    </w:pPr>
    <w:rPr>
      <w:b/>
      <w:bCs/>
      <w:lang w:val="de-D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0E18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0E18"/>
    <w:pPr>
      <w:keepNext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0E18"/>
    <w:pPr>
      <w:keepNext/>
      <w:jc w:val="both"/>
      <w:outlineLvl w:val="4"/>
    </w:pPr>
    <w:rPr>
      <w:b/>
      <w:bCs/>
      <w:color w:val="00000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10E18"/>
    <w:pPr>
      <w:keepNext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0E18"/>
    <w:rPr>
      <w:rFonts w:ascii="Times New Roman" w:eastAsia="Times New Roman" w:hAnsi="Times New Roman" w:cs="Times New Roman"/>
      <w:b/>
      <w:bCs/>
      <w:sz w:val="36"/>
      <w:szCs w:val="24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rsid w:val="00310E18"/>
    <w:rPr>
      <w:rFonts w:ascii="Times New Roman" w:eastAsia="Times New Roman" w:hAnsi="Times New Roman" w:cs="Times New Roman"/>
      <w:b/>
      <w:bCs/>
      <w:sz w:val="24"/>
      <w:szCs w:val="24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310E18"/>
    <w:rPr>
      <w:rFonts w:ascii="Times New Roman" w:eastAsia="Times New Roman" w:hAnsi="Times New Roman" w:cs="Times New Roman"/>
      <w:b/>
      <w:bCs/>
      <w:sz w:val="24"/>
      <w:szCs w:val="24"/>
      <w:u w:val="single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310E18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rsid w:val="00310E18"/>
    <w:rPr>
      <w:rFonts w:ascii="Times New Roman" w:eastAsia="Times New Roman" w:hAnsi="Times New Roman" w:cs="Times New Roman"/>
      <w:b/>
      <w:bCs/>
      <w:color w:val="000000"/>
      <w:sz w:val="24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rsid w:val="00310E18"/>
    <w:rPr>
      <w:rFonts w:ascii="Times New Roman" w:eastAsia="Times New Roman" w:hAnsi="Times New Roman" w:cs="Times New Roman"/>
      <w:i/>
      <w:sz w:val="24"/>
      <w:szCs w:val="24"/>
      <w:lang w:val="sq-AL"/>
    </w:rPr>
  </w:style>
  <w:style w:type="paragraph" w:styleId="BodyTextIndent">
    <w:name w:val="Body Text Indent"/>
    <w:basedOn w:val="Normal"/>
    <w:link w:val="BodyTextIndentChar"/>
    <w:rsid w:val="00310E18"/>
    <w:pPr>
      <w:ind w:left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310E18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310E18"/>
    <w:pPr>
      <w:jc w:val="both"/>
    </w:pPr>
    <w:rPr>
      <w:i/>
      <w:iCs/>
    </w:rPr>
  </w:style>
  <w:style w:type="character" w:customStyle="1" w:styleId="BodyText2Char">
    <w:name w:val="Body Text 2 Char"/>
    <w:basedOn w:val="DefaultParagraphFont"/>
    <w:link w:val="BodyText2"/>
    <w:rsid w:val="00310E18"/>
    <w:rPr>
      <w:rFonts w:ascii="Times New Roman" w:eastAsia="Times New Roman" w:hAnsi="Times New Roman" w:cs="Times New Roman"/>
      <w:i/>
      <w:iCs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310E18"/>
    <w:pPr>
      <w:ind w:left="720"/>
      <w:contextualSpacing/>
    </w:pPr>
  </w:style>
  <w:style w:type="table" w:styleId="TableGrid">
    <w:name w:val="Table Grid"/>
    <w:basedOn w:val="TableNormal"/>
    <w:uiPriority w:val="39"/>
    <w:rsid w:val="00310E18"/>
    <w:pPr>
      <w:spacing w:after="0" w:line="240" w:lineRule="auto"/>
    </w:pPr>
    <w:rPr>
      <w:rFonts w:ascii="Cambria" w:hAnsi="Cambria" w:cs="Times New Roman"/>
      <w:b/>
      <w:smallCaps/>
      <w:sz w:val="56"/>
      <w:szCs w:val="56"/>
      <w:vertAlign w:val="subscri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0E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E18"/>
    <w:rPr>
      <w:rFonts w:ascii="Tahoma" w:eastAsia="Times New Roman" w:hAnsi="Tahoma" w:cs="Tahoma"/>
      <w:sz w:val="16"/>
      <w:szCs w:val="16"/>
      <w:lang w:val="sq-AL"/>
    </w:rPr>
  </w:style>
  <w:style w:type="paragraph" w:styleId="NoSpacing">
    <w:name w:val="No Spacing"/>
    <w:uiPriority w:val="1"/>
    <w:qFormat/>
    <w:rsid w:val="00310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0E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0EB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3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 Gjilan</Company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KKGjilan</dc:creator>
  <cp:keywords/>
  <dc:description/>
  <cp:lastModifiedBy>Sadri Arifi</cp:lastModifiedBy>
  <cp:revision>15</cp:revision>
  <cp:lastPrinted>2018-11-30T13:26:00Z</cp:lastPrinted>
  <dcterms:created xsi:type="dcterms:W3CDTF">2018-11-18T18:59:00Z</dcterms:created>
  <dcterms:modified xsi:type="dcterms:W3CDTF">2018-11-30T13:27:00Z</dcterms:modified>
</cp:coreProperties>
</file>