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42" w:rsidRPr="00995171" w:rsidRDefault="00CC1A42" w:rsidP="00CC1A42">
      <w:pPr>
        <w:pStyle w:val="Heading6"/>
        <w:rPr>
          <w:rFonts w:ascii="Book Antiqua" w:hAnsi="Book Antiqua"/>
          <w:vanish/>
          <w:sz w:val="32"/>
          <w:specVanish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171450</wp:posOffset>
                </wp:positionV>
                <wp:extent cx="3429000" cy="9906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A42" w:rsidRDefault="00CC1A42" w:rsidP="00CC1A42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CC1A42" w:rsidRPr="00CC1A42" w:rsidRDefault="00CC1A42" w:rsidP="00CC1A4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CC1A4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REPUBLIKA E KOSOVËS</w:t>
                            </w:r>
                          </w:p>
                          <w:p w:rsidR="00CC1A42" w:rsidRPr="00CC1A42" w:rsidRDefault="00CC1A42" w:rsidP="00CC1A4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CC1A4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REPUBLIKA KOSOVA/REPUBLIC OF KOSOVO</w:t>
                            </w:r>
                          </w:p>
                          <w:p w:rsidR="00CC1A42" w:rsidRDefault="00CC1A42" w:rsidP="00CC1A4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1A42" w:rsidRPr="00CC1A42" w:rsidRDefault="00CC1A42" w:rsidP="00CC1A4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CC1A42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KOMUNA E GJILANIT</w:t>
                            </w:r>
                          </w:p>
                          <w:p w:rsidR="00CC1A42" w:rsidRPr="00CC1A42" w:rsidRDefault="00CC1A42" w:rsidP="00CC1A4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CC1A42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OPŠTINA GNJILANE</w:t>
                            </w:r>
                            <w:r w:rsidRPr="00CC1A42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/MUNICIPAL GJILAN/</w:t>
                            </w:r>
                            <w:r w:rsidRPr="00CC1A42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GILAN  BELEDIYESI</w:t>
                            </w:r>
                          </w:p>
                          <w:p w:rsidR="00CC1A42" w:rsidRDefault="00CC1A42" w:rsidP="00CC1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pt;margin-top:13.5pt;width:2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">
                <v:textbox>
                  <w:txbxContent>
                    <w:p w:rsidR="00CC1A42" w:rsidRDefault="00CC1A42" w:rsidP="00CC1A42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CC1A42" w:rsidRPr="00CC1A42" w:rsidRDefault="00CC1A42" w:rsidP="00CC1A42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CC1A4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REPUBLIKA E KOSOVËS</w:t>
                      </w:r>
                    </w:p>
                    <w:p w:rsidR="00CC1A42" w:rsidRPr="00CC1A42" w:rsidRDefault="00CC1A42" w:rsidP="00CC1A4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CC1A4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REPUBLIKA KOSOVA/REPUBLIC OF KOSOVO</w:t>
                      </w:r>
                    </w:p>
                    <w:p w:rsidR="00CC1A42" w:rsidRDefault="00CC1A42" w:rsidP="00CC1A42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</w:p>
                    <w:p w:rsidR="00CC1A42" w:rsidRPr="00CC1A42" w:rsidRDefault="00CC1A42" w:rsidP="00CC1A42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CC1A42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KOMUNA E GJILANIT</w:t>
                      </w:r>
                    </w:p>
                    <w:p w:rsidR="00CC1A42" w:rsidRPr="00CC1A42" w:rsidRDefault="00CC1A42" w:rsidP="00CC1A4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 w:rsidRPr="00CC1A42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OPŠTINA GNJILANE</w:t>
                      </w:r>
                      <w:r w:rsidRPr="00CC1A42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/MUNICIPAL GJILAN/</w:t>
                      </w:r>
                      <w:r w:rsidRPr="00CC1A42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GILAN  BELEDIYESI</w:t>
                      </w:r>
                    </w:p>
                    <w:p w:rsidR="00CC1A42" w:rsidRDefault="00CC1A42" w:rsidP="00CC1A42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lang w:eastAsia="sq-AL"/>
        </w:rPr>
        <w:drawing>
          <wp:inline distT="0" distB="0" distL="0" distR="0">
            <wp:extent cx="914400" cy="10477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                                                                                                  </w:t>
      </w:r>
      <w:r>
        <w:rPr>
          <w:rFonts w:ascii="Book Antiqua" w:hAnsi="Book Antiqua"/>
          <w:noProof/>
          <w:lang w:eastAsia="sq-AL"/>
        </w:rPr>
        <w:drawing>
          <wp:inline distT="0" distB="0" distL="0" distR="0">
            <wp:extent cx="762000" cy="1028700"/>
            <wp:effectExtent l="0" t="0" r="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Default="00F6632B" w:rsidP="00F6632B">
      <w:pPr>
        <w:jc w:val="center"/>
        <w:rPr>
          <w:b/>
          <w:i/>
        </w:rPr>
      </w:pPr>
    </w:p>
    <w:p w:rsid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371EB2" w:rsidRDefault="00F6632B" w:rsidP="00F6632B">
      <w:pPr>
        <w:jc w:val="center"/>
        <w:rPr>
          <w:b/>
          <w:bCs/>
          <w:sz w:val="36"/>
          <w:szCs w:val="36"/>
        </w:rPr>
      </w:pPr>
      <w:r w:rsidRPr="00371EB2">
        <w:rPr>
          <w:b/>
          <w:bCs/>
          <w:sz w:val="36"/>
          <w:szCs w:val="36"/>
        </w:rPr>
        <w:t xml:space="preserve">RREGULLORE PËR TATIMIN </w:t>
      </w:r>
    </w:p>
    <w:p w:rsidR="00F6632B" w:rsidRPr="00371EB2" w:rsidRDefault="00F6632B" w:rsidP="00F6632B">
      <w:pPr>
        <w:jc w:val="center"/>
        <w:rPr>
          <w:b/>
          <w:bCs/>
          <w:sz w:val="36"/>
          <w:szCs w:val="36"/>
          <w:lang w:val="de-DE"/>
        </w:rPr>
      </w:pPr>
      <w:r w:rsidRPr="00371EB2">
        <w:rPr>
          <w:b/>
          <w:bCs/>
          <w:sz w:val="36"/>
          <w:szCs w:val="36"/>
          <w:lang w:val="de-DE"/>
        </w:rPr>
        <w:t>MBI PRONËN E PALUAJTSHME PËR VITIN 2019</w:t>
      </w:r>
    </w:p>
    <w:p w:rsidR="00E66F99" w:rsidRPr="00F6632B" w:rsidRDefault="00E66F99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371EB2" w:rsidRDefault="00FD2B2C" w:rsidP="00FD2B2C">
      <w:pPr>
        <w:pStyle w:val="Heading2"/>
        <w:jc w:val="left"/>
        <w:rPr>
          <w:sz w:val="28"/>
          <w:szCs w:val="28"/>
        </w:rPr>
      </w:pPr>
      <w:r>
        <w:rPr>
          <w:b w:val="0"/>
          <w:bCs w:val="0"/>
          <w:lang w:val="sq-AL"/>
        </w:rPr>
        <w:t xml:space="preserve">                                                                </w:t>
      </w:r>
      <w:r>
        <w:rPr>
          <w:sz w:val="28"/>
          <w:szCs w:val="28"/>
        </w:rPr>
        <w:t>Nëntor</w:t>
      </w:r>
      <w:r w:rsidR="00F6632B" w:rsidRPr="00371EB2">
        <w:rPr>
          <w:sz w:val="28"/>
          <w:szCs w:val="28"/>
        </w:rPr>
        <w:t xml:space="preserve"> 2018</w:t>
      </w:r>
    </w:p>
    <w:p w:rsidR="00F6632B" w:rsidRDefault="00FD2B2C" w:rsidP="00F6632B">
      <w:pPr>
        <w:jc w:val="center"/>
        <w:rPr>
          <w:b/>
          <w:bCs/>
          <w:i/>
          <w:sz w:val="28"/>
          <w:szCs w:val="28"/>
          <w:lang w:val="de-DE"/>
        </w:rPr>
      </w:pPr>
      <w:r>
        <w:rPr>
          <w:b/>
          <w:bCs/>
          <w:i/>
          <w:sz w:val="28"/>
          <w:szCs w:val="28"/>
          <w:lang w:val="de-DE"/>
        </w:rPr>
        <w:t>Gjilan</w:t>
      </w:r>
    </w:p>
    <w:p w:rsidR="0017508E" w:rsidRPr="00371EB2" w:rsidRDefault="0017508E" w:rsidP="00F6632B">
      <w:pPr>
        <w:jc w:val="center"/>
        <w:rPr>
          <w:b/>
          <w:bCs/>
          <w:i/>
          <w:sz w:val="28"/>
          <w:szCs w:val="28"/>
          <w:lang w:val="de-DE"/>
        </w:rPr>
      </w:pPr>
    </w:p>
    <w:p w:rsidR="00290584" w:rsidRDefault="00290584" w:rsidP="00F6632B">
      <w:pPr>
        <w:jc w:val="both"/>
      </w:pPr>
    </w:p>
    <w:p w:rsidR="00290584" w:rsidRDefault="00290584" w:rsidP="00F6632B">
      <w:pPr>
        <w:jc w:val="both"/>
      </w:pPr>
    </w:p>
    <w:p w:rsidR="00290584" w:rsidRPr="00290584" w:rsidRDefault="00290584" w:rsidP="00F6632B">
      <w:pPr>
        <w:jc w:val="both"/>
      </w:pPr>
      <w:r w:rsidRPr="00B660DD">
        <w:lastRenderedPageBreak/>
        <w:t>Në mbështetje të nenit 24.2 të Ligjit për Vetëqeverisjen Lokale 03/L-040, dispozitave të Ligjit nr. 03/L-204 Për Tatimin në Pronën e Paluajtsh</w:t>
      </w:r>
      <w:bookmarkStart w:id="0" w:name="_GoBack"/>
      <w:bookmarkEnd w:id="0"/>
      <w:r w:rsidRPr="00B660DD">
        <w:t>me dhe ndryshimin dhe plotësimin e ligjit për tatimin në pronën e paluajtshme nr. 04/L-100 dhe nenin 9 të Ligjit nr.03/L-049  për Financat e Pushtetit Lokal,</w:t>
      </w:r>
      <w:r w:rsidRPr="0094704C">
        <w:t xml:space="preserve"> Kuvendi i Komunës  </w:t>
      </w:r>
      <w:r>
        <w:t>së Gjilanit e mbajtur më</w:t>
      </w:r>
      <w:r w:rsidRPr="0094704C">
        <w:t xml:space="preserve"> datë</w:t>
      </w:r>
      <w:r>
        <w:t xml:space="preserve"> </w:t>
      </w:r>
      <w:r w:rsidRPr="00290584">
        <w:rPr>
          <w:bCs/>
        </w:rPr>
        <w:t>26.11.2018, miraton këtë:</w:t>
      </w:r>
    </w:p>
    <w:p w:rsidR="00F6632B" w:rsidRPr="00F6632B" w:rsidRDefault="00F6632B" w:rsidP="00F6632B">
      <w:pPr>
        <w:jc w:val="both"/>
      </w:pPr>
    </w:p>
    <w:p w:rsidR="00F6632B" w:rsidRDefault="00F6632B" w:rsidP="00F6632B">
      <w:pPr>
        <w:pStyle w:val="Heading1"/>
        <w:rPr>
          <w:sz w:val="24"/>
        </w:rPr>
      </w:pPr>
      <w:r w:rsidRPr="00A7535C">
        <w:rPr>
          <w:sz w:val="24"/>
        </w:rPr>
        <w:t>RREGULLORE P</w:t>
      </w:r>
      <w:r w:rsidR="000A7BBB">
        <w:rPr>
          <w:sz w:val="24"/>
        </w:rPr>
        <w:t>Ë</w:t>
      </w:r>
      <w:r w:rsidRPr="00A7535C">
        <w:rPr>
          <w:sz w:val="24"/>
        </w:rPr>
        <w:t>R TATIMIN NË PRONËN E PALUAJTSHME</w:t>
      </w:r>
    </w:p>
    <w:p w:rsidR="00290584" w:rsidRPr="00290584" w:rsidRDefault="00290584" w:rsidP="00290584">
      <w:pPr>
        <w:jc w:val="center"/>
        <w:rPr>
          <w:b/>
        </w:rPr>
      </w:pPr>
      <w:r w:rsidRPr="00290584">
        <w:rPr>
          <w:b/>
        </w:rPr>
        <w:t>PËR VITIN 2019</w:t>
      </w:r>
    </w:p>
    <w:p w:rsidR="00290584" w:rsidRDefault="00290584" w:rsidP="00F6632B">
      <w:pPr>
        <w:jc w:val="center"/>
        <w:rPr>
          <w:b/>
          <w:bCs/>
        </w:rPr>
      </w:pPr>
    </w:p>
    <w:p w:rsidR="00F6632B" w:rsidRDefault="00F6632B" w:rsidP="00F6632B">
      <w:pPr>
        <w:jc w:val="center"/>
        <w:rPr>
          <w:b/>
          <w:bCs/>
        </w:rPr>
      </w:pPr>
      <w:r>
        <w:rPr>
          <w:b/>
          <w:bCs/>
        </w:rPr>
        <w:t>Neni 1</w:t>
      </w:r>
    </w:p>
    <w:p w:rsidR="00F6632B" w:rsidRPr="00F6632B" w:rsidRDefault="00F6632B" w:rsidP="00F6632B">
      <w:pPr>
        <w:jc w:val="center"/>
        <w:rPr>
          <w:b/>
          <w:bCs/>
        </w:rPr>
      </w:pPr>
      <w:r>
        <w:rPr>
          <w:b/>
          <w:bCs/>
        </w:rPr>
        <w:t>Baza Tatimore</w:t>
      </w:r>
    </w:p>
    <w:p w:rsidR="00F6632B" w:rsidRPr="00F6632B" w:rsidRDefault="00F6632B" w:rsidP="00F6632B">
      <w:pPr>
        <w:jc w:val="both"/>
        <w:rPr>
          <w:b/>
          <w:bCs/>
        </w:rPr>
      </w:pPr>
    </w:p>
    <w:p w:rsidR="00F6632B" w:rsidRPr="00F6632B" w:rsidRDefault="003C72CA" w:rsidP="00F6632B">
      <w:pPr>
        <w:jc w:val="both"/>
      </w:pPr>
      <w:r>
        <w:rPr>
          <w:bCs/>
        </w:rPr>
        <w:t xml:space="preserve">Për vitin 2019 </w:t>
      </w:r>
      <w:r w:rsidR="00124A77">
        <w:rPr>
          <w:bCs/>
        </w:rPr>
        <w:t xml:space="preserve">zonat tatimore dhe nivelet e vlerave </w:t>
      </w:r>
      <w:r w:rsidR="0059138A">
        <w:rPr>
          <w:bCs/>
        </w:rPr>
        <w:t>për M</w:t>
      </w:r>
      <w:r w:rsidR="0059138A" w:rsidRPr="0059138A">
        <w:rPr>
          <w:bCs/>
          <w:vertAlign w:val="superscript"/>
        </w:rPr>
        <w:t>2</w:t>
      </w:r>
      <w:r w:rsidR="0059138A">
        <w:rPr>
          <w:bCs/>
        </w:rPr>
        <w:t xml:space="preserve"> </w:t>
      </w:r>
      <w:r w:rsidR="00F6632B" w:rsidRPr="00F6632B">
        <w:t xml:space="preserve">në </w:t>
      </w:r>
      <w:r w:rsidR="00F6632B">
        <w:t>K</w:t>
      </w:r>
      <w:r w:rsidR="00F6632B" w:rsidRPr="00F6632B">
        <w:t xml:space="preserve">omunën e </w:t>
      </w:r>
      <w:r w:rsidR="00FD2B2C">
        <w:t>Gjilanit</w:t>
      </w:r>
      <w:r w:rsidR="00F6632B" w:rsidRPr="00F6632B">
        <w:t>,</w:t>
      </w:r>
      <w:r w:rsidR="00124A77">
        <w:t xml:space="preserve"> caktohen</w:t>
      </w:r>
      <w:r w:rsidR="00F6632B" w:rsidRPr="00F6632B">
        <w:t xml:space="preserve"> si </w:t>
      </w:r>
      <w:r w:rsidR="00F6632B">
        <w:t>vijon</w:t>
      </w:r>
      <w:r w:rsidR="00F6632B" w:rsidRPr="00F6632B">
        <w:t>:</w:t>
      </w:r>
    </w:p>
    <w:p w:rsidR="00F6632B" w:rsidRPr="00F6632B" w:rsidRDefault="00F6632B" w:rsidP="00F6632B">
      <w:pPr>
        <w:jc w:val="both"/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711"/>
        <w:gridCol w:w="716"/>
        <w:gridCol w:w="729"/>
        <w:gridCol w:w="705"/>
        <w:gridCol w:w="32"/>
        <w:gridCol w:w="720"/>
        <w:gridCol w:w="720"/>
        <w:gridCol w:w="735"/>
        <w:gridCol w:w="720"/>
        <w:gridCol w:w="720"/>
        <w:gridCol w:w="725"/>
      </w:tblGrid>
      <w:tr w:rsidR="00C11268" w:rsidRPr="00F6632B" w:rsidTr="00F3714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996" w:rsidRPr="00F6632B" w:rsidRDefault="00617996" w:rsidP="00F3714C">
            <w:pPr>
              <w:pStyle w:val="BodyText2"/>
              <w:jc w:val="left"/>
              <w:rPr>
                <w:b/>
                <w:bCs/>
                <w:i w:val="0"/>
              </w:rPr>
            </w:pPr>
            <w:r w:rsidRPr="00F6632B">
              <w:rPr>
                <w:b/>
                <w:bCs/>
                <w:i w:val="0"/>
              </w:rPr>
              <w:t xml:space="preserve">Kategoria e </w:t>
            </w:r>
            <w:r>
              <w:rPr>
                <w:b/>
                <w:bCs/>
                <w:i w:val="0"/>
              </w:rPr>
              <w:t>Vlerës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F6632B" w:rsidRDefault="00617996" w:rsidP="004728CC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  <w:r>
              <w:rPr>
                <w:b/>
                <w:bCs/>
                <w:i w:val="0"/>
                <w:lang w:val="it-IT"/>
              </w:rPr>
              <w:t>Nivelet e vlerave</w:t>
            </w:r>
            <w:r w:rsidR="00D03962">
              <w:rPr>
                <w:b/>
                <w:bCs/>
                <w:i w:val="0"/>
                <w:lang w:val="it-IT"/>
              </w:rPr>
              <w:t xml:space="preserve"> p</w:t>
            </w:r>
            <w:r w:rsidR="004728CC">
              <w:rPr>
                <w:b/>
                <w:bCs/>
                <w:i w:val="0"/>
                <w:lang w:val="it-IT"/>
              </w:rPr>
              <w:t>ë</w:t>
            </w:r>
            <w:r w:rsidR="00D03962">
              <w:rPr>
                <w:b/>
                <w:bCs/>
                <w:i w:val="0"/>
                <w:lang w:val="it-IT"/>
              </w:rPr>
              <w:t>r M</w:t>
            </w:r>
            <w:r w:rsidR="00D03962" w:rsidRPr="00D03962">
              <w:rPr>
                <w:b/>
                <w:bCs/>
                <w:i w:val="0"/>
                <w:vertAlign w:val="superscript"/>
                <w:lang w:val="it-I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Default="00617996" w:rsidP="00F3714C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Default="00617996" w:rsidP="00F3714C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7996" w:rsidRDefault="00617996" w:rsidP="00F3714C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  <w:tc>
          <w:tcPr>
            <w:tcW w:w="720" w:type="dxa"/>
          </w:tcPr>
          <w:p w:rsidR="00617996" w:rsidRDefault="00617996" w:rsidP="00F3714C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  <w:tc>
          <w:tcPr>
            <w:tcW w:w="725" w:type="dxa"/>
          </w:tcPr>
          <w:p w:rsidR="00617996" w:rsidRDefault="00617996" w:rsidP="00F3714C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</w:tr>
      <w:tr w:rsidR="00C11268" w:rsidRPr="00F6632B" w:rsidTr="00F3714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F6632B" w:rsidRDefault="00617996" w:rsidP="00F3714C">
            <w:pPr>
              <w:pStyle w:val="BodyText2"/>
              <w:jc w:val="left"/>
              <w:rPr>
                <w:b/>
                <w:bCs/>
                <w:i w:val="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03962" w:rsidRDefault="00617996" w:rsidP="00F3714C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/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 w:rsidR="00D13D75">
              <w:rPr>
                <w:b/>
                <w:bCs/>
                <w:i w:val="0"/>
                <w:sz w:val="20"/>
                <w:szCs w:val="20"/>
                <w:lang w:val="it-IT"/>
              </w:rPr>
              <w:t>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03962" w:rsidRDefault="00617996" w:rsidP="00F3714C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/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 w:rsidR="00D13D75">
              <w:rPr>
                <w:b/>
                <w:bCs/>
                <w:i w:val="0"/>
                <w:sz w:val="20"/>
                <w:szCs w:val="20"/>
                <w:lang w:val="it-IT"/>
              </w:rPr>
              <w:t>Ia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03962" w:rsidRDefault="00617996" w:rsidP="00F3714C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/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 w:rsidR="00D13D75">
              <w:rPr>
                <w:b/>
                <w:bCs/>
                <w:i w:val="0"/>
                <w:sz w:val="20"/>
                <w:szCs w:val="20"/>
                <w:lang w:val="it-IT"/>
              </w:rPr>
              <w:t>Ib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03962" w:rsidRDefault="00617996" w:rsidP="00F3714C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/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 w:rsidR="00D13D75">
              <w:rPr>
                <w:b/>
                <w:bCs/>
                <w:i w:val="0"/>
                <w:sz w:val="20"/>
                <w:szCs w:val="20"/>
                <w:lang w:val="it-IT"/>
              </w:rPr>
              <w:t>II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03962" w:rsidRDefault="00617996" w:rsidP="00F3714C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D03962">
              <w:rPr>
                <w:b/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 w:rsidR="00D13D75">
              <w:rPr>
                <w:b/>
                <w:bCs/>
                <w:i w:val="0"/>
                <w:sz w:val="20"/>
                <w:szCs w:val="20"/>
                <w:lang w:val="it-IT"/>
              </w:rPr>
              <w:t>III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03962" w:rsidRDefault="00617996" w:rsidP="00F3714C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/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 w:rsidR="00D13D75">
              <w:rPr>
                <w:b/>
                <w:bCs/>
                <w:i w:val="0"/>
                <w:sz w:val="20"/>
                <w:szCs w:val="20"/>
                <w:lang w:val="it-IT"/>
              </w:rPr>
              <w:t>IV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D03962" w:rsidRDefault="00617996" w:rsidP="00F3714C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/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 w:rsidR="00D13D75">
              <w:rPr>
                <w:b/>
                <w:bCs/>
                <w:i w:val="0"/>
                <w:sz w:val="20"/>
                <w:szCs w:val="20"/>
                <w:lang w:val="it-IT"/>
              </w:rPr>
              <w:t>V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7996" w:rsidRPr="00D03962" w:rsidRDefault="00617996" w:rsidP="00F3714C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</w:p>
        </w:tc>
        <w:tc>
          <w:tcPr>
            <w:tcW w:w="720" w:type="dxa"/>
          </w:tcPr>
          <w:p w:rsidR="00617996" w:rsidRPr="00D03962" w:rsidRDefault="00617996" w:rsidP="00F3714C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</w:p>
        </w:tc>
        <w:tc>
          <w:tcPr>
            <w:tcW w:w="725" w:type="dxa"/>
          </w:tcPr>
          <w:p w:rsidR="00617996" w:rsidRPr="00D03962" w:rsidRDefault="00617996" w:rsidP="00F3714C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</w:p>
        </w:tc>
      </w:tr>
      <w:tr w:rsidR="000F63D0" w:rsidRPr="00F6632B" w:rsidTr="00F3714C">
        <w:tc>
          <w:tcPr>
            <w:tcW w:w="7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3D0" w:rsidRPr="000F63D0" w:rsidRDefault="000F63D0" w:rsidP="00F3714C">
            <w:pPr>
              <w:pStyle w:val="BodyText2"/>
              <w:jc w:val="left"/>
              <w:rPr>
                <w:b/>
                <w:i w:val="0"/>
                <w:highlight w:val="lightGray"/>
              </w:rPr>
            </w:pPr>
            <w:r w:rsidRPr="000F63D0">
              <w:rPr>
                <w:b/>
                <w:i w:val="0"/>
                <w:highlight w:val="lightGray"/>
              </w:rPr>
              <w:t>Pronë rezidenciale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</w:tcBorders>
          </w:tcPr>
          <w:p w:rsidR="000F63D0" w:rsidRPr="00AD4463" w:rsidRDefault="000F63D0" w:rsidP="00F3714C">
            <w:pPr>
              <w:pStyle w:val="BodyText2"/>
              <w:jc w:val="left"/>
              <w:rPr>
                <w:b/>
                <w:i w:val="0"/>
              </w:rPr>
            </w:pPr>
          </w:p>
        </w:tc>
      </w:tr>
      <w:tr w:rsidR="00C11268" w:rsidRPr="00F6632B" w:rsidTr="00F3714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F6632B" w:rsidRDefault="00617996" w:rsidP="00F3714C">
            <w:pPr>
              <w:pStyle w:val="ListParagraph"/>
              <w:numPr>
                <w:ilvl w:val="0"/>
                <w:numId w:val="4"/>
              </w:numPr>
              <w:ind w:left="697"/>
            </w:pPr>
            <w:r w:rsidRPr="00580412">
              <w:t>Shtëpi familjare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E74CB5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425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390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365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F3714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F6632B" w:rsidRDefault="00617996" w:rsidP="00F3714C">
            <w:pPr>
              <w:pStyle w:val="ListParagraph"/>
              <w:numPr>
                <w:ilvl w:val="0"/>
                <w:numId w:val="4"/>
              </w:numPr>
              <w:ind w:left="697"/>
            </w:pPr>
            <w:r w:rsidRPr="00580412">
              <w:t>Apartament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E74CB5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470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425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F3714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0F63D0" w:rsidRDefault="00617996" w:rsidP="00F3714C">
            <w:pPr>
              <w:pStyle w:val="ListParagraph"/>
              <w:numPr>
                <w:ilvl w:val="0"/>
                <w:numId w:val="4"/>
              </w:numPr>
              <w:ind w:left="697"/>
            </w:pPr>
            <w:r w:rsidRPr="000F63D0">
              <w:t>Garazh për shfrytëzim privat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E74CB5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175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tabs>
                <w:tab w:val="left" w:pos="390"/>
              </w:tabs>
              <w:jc w:val="center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8D12A6" w:rsidRPr="00F6632B" w:rsidTr="00F3714C">
        <w:trPr>
          <w:trHeight w:val="78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ListParagraph"/>
              <w:numPr>
                <w:ilvl w:val="0"/>
                <w:numId w:val="4"/>
              </w:numPr>
              <w:ind w:left="697"/>
            </w:pPr>
            <w:r w:rsidRPr="00580412">
              <w:t>Objekt tjetër rezidencial</w:t>
            </w:r>
            <w:r>
              <w:t>(i braktisur)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center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15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Merge w:val="restart"/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Merge w:val="restart"/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8D12A6" w:rsidRPr="00F6632B" w:rsidTr="00F3714C">
        <w:trPr>
          <w:trHeight w:val="257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580412" w:rsidRDefault="008D12A6" w:rsidP="00F3714C">
            <w:pPr>
              <w:pStyle w:val="ListParagraph"/>
              <w:numPr>
                <w:ilvl w:val="0"/>
                <w:numId w:val="4"/>
              </w:numPr>
              <w:ind w:left="697"/>
            </w:pPr>
            <w:r>
              <w:t>Pronat e papërfunduara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170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center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146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center"/>
              <w:rPr>
                <w:i w:val="0"/>
              </w:rPr>
            </w:pPr>
            <w:r>
              <w:rPr>
                <w:i w:val="0"/>
              </w:rPr>
              <w:t>46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Merge/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Merge/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962AD5" w:rsidRPr="00F6632B" w:rsidTr="00F3714C"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62AD5" w:rsidRPr="00AD4463" w:rsidRDefault="00962AD5" w:rsidP="00F3714C">
            <w:pPr>
              <w:pStyle w:val="BodyText2"/>
              <w:numPr>
                <w:ilvl w:val="0"/>
                <w:numId w:val="14"/>
              </w:numPr>
              <w:jc w:val="left"/>
              <w:rPr>
                <w:b/>
                <w:i w:val="0"/>
              </w:rPr>
            </w:pPr>
            <w:r w:rsidRPr="00AD4463">
              <w:rPr>
                <w:b/>
                <w:i w:val="0"/>
              </w:rPr>
              <w:t>Pronë komerciale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962AD5" w:rsidRPr="00AD4463" w:rsidRDefault="00962AD5" w:rsidP="00F3714C">
            <w:pPr>
              <w:pStyle w:val="BodyText2"/>
              <w:jc w:val="left"/>
              <w:rPr>
                <w:b/>
                <w:i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962AD5" w:rsidRPr="00AD4463" w:rsidRDefault="00962AD5" w:rsidP="00F3714C">
            <w:pPr>
              <w:pStyle w:val="BodyText2"/>
              <w:jc w:val="left"/>
              <w:rPr>
                <w:b/>
                <w:i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2AD5" w:rsidRPr="00AD4463" w:rsidRDefault="00962AD5" w:rsidP="00F3714C">
            <w:pPr>
              <w:pStyle w:val="BodyText2"/>
              <w:jc w:val="left"/>
              <w:rPr>
                <w:b/>
                <w:i w:val="0"/>
              </w:rPr>
            </w:pPr>
          </w:p>
        </w:tc>
        <w:tc>
          <w:tcPr>
            <w:tcW w:w="2165" w:type="dxa"/>
            <w:gridSpan w:val="3"/>
            <w:tcBorders>
              <w:left w:val="single" w:sz="4" w:space="0" w:color="auto"/>
            </w:tcBorders>
          </w:tcPr>
          <w:p w:rsidR="00962AD5" w:rsidRPr="00AD4463" w:rsidRDefault="00962AD5" w:rsidP="00F3714C">
            <w:pPr>
              <w:pStyle w:val="BodyText2"/>
              <w:jc w:val="left"/>
              <w:rPr>
                <w:b/>
                <w:i w:val="0"/>
              </w:rPr>
            </w:pPr>
          </w:p>
        </w:tc>
      </w:tr>
      <w:tr w:rsidR="00F3714C" w:rsidRPr="00F6632B" w:rsidTr="00F3714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Default="00962AD5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Shitore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62AD5" w:rsidRPr="00B32F7D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962AD5" w:rsidRPr="00B32F7D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962AD5" w:rsidRPr="00B32F7D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F3714C" w:rsidRPr="00F6632B" w:rsidTr="00F3714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Default="00962AD5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Zyrë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D5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62AD5" w:rsidRPr="00B32F7D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962AD5" w:rsidRPr="00B32F7D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962AD5" w:rsidRPr="00B32F7D" w:rsidRDefault="00962AD5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F3714C"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580412" w:rsidRDefault="0061799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Restorant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F3714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580412" w:rsidRDefault="0061799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Hotel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F3714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580412" w:rsidRDefault="00D03962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 xml:space="preserve">Objekt për magazinim </w:t>
            </w:r>
            <w:r w:rsidR="00617996" w:rsidRPr="00580412">
              <w:t>komercial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500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400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70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F3714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580412" w:rsidRDefault="0061799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Garazh komercial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175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F3714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580412" w:rsidRDefault="0061799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Pishinë për shfrytëzim komercial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80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F3714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580412" w:rsidRDefault="0061799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Fushë sportive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70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8D12A6" w:rsidRPr="00F6632B" w:rsidTr="00F3714C">
        <w:trPr>
          <w:trHeight w:val="525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580412" w:rsidRDefault="008D12A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Fushë e mbyllur sportive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70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Merge w:val="restart"/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Merge w:val="restart"/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8D12A6" w:rsidRPr="00F6632B" w:rsidTr="00F3714C">
        <w:trPr>
          <w:trHeight w:val="287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Pr="00580412" w:rsidRDefault="008D12A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>Institucionet shkollore private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A6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Merge/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Merge/>
          </w:tcPr>
          <w:p w:rsidR="008D12A6" w:rsidRPr="00B32F7D" w:rsidRDefault="008D12A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F3714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580412" w:rsidRDefault="0061799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Pompë benzine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1000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140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F3714C">
        <w:trPr>
          <w:trHeight w:val="62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580412" w:rsidRDefault="00617996" w:rsidP="00F3714C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 xml:space="preserve">Objekt </w:t>
            </w:r>
            <w:r w:rsidR="004361BA">
              <w:t>komercial i pashfrytëzuar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81EF9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700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81EF9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644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81EF9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546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81EF9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81EF9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81EF9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81EF9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98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4361BA" w:rsidRPr="00F6632B" w:rsidTr="00F3714C">
        <w:trPr>
          <w:gridAfter w:val="3"/>
          <w:wAfter w:w="2165" w:type="dxa"/>
        </w:trPr>
        <w:tc>
          <w:tcPr>
            <w:tcW w:w="7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61BA" w:rsidRPr="00AD4463" w:rsidRDefault="008D12A6" w:rsidP="00F3714C">
            <w:pPr>
              <w:pStyle w:val="BodyText2"/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lastRenderedPageBreak/>
              <w:t>3.</w:t>
            </w:r>
            <w:r w:rsidR="004361BA" w:rsidRPr="00AD4463">
              <w:rPr>
                <w:b/>
                <w:i w:val="0"/>
              </w:rPr>
              <w:t>Pronë industriale</w:t>
            </w:r>
          </w:p>
        </w:tc>
      </w:tr>
      <w:tr w:rsidR="004361BA" w:rsidRPr="00F6632B" w:rsidTr="00F3714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Default="004361BA" w:rsidP="00F3714C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 w:rsidRPr="00580412">
              <w:t>Fabrikë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B32F7D" w:rsidRDefault="004361BA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A" w:rsidRPr="00B32F7D" w:rsidRDefault="004361BA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:rsidR="004361BA" w:rsidRPr="00B32F7D" w:rsidRDefault="004361BA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Merge w:val="restart"/>
          </w:tcPr>
          <w:p w:rsidR="004361BA" w:rsidRPr="00B32F7D" w:rsidRDefault="004361BA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4361BA" w:rsidRPr="00B32F7D" w:rsidRDefault="004361BA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F97CF0" w:rsidRPr="00F6632B" w:rsidTr="00F3714C">
        <w:trPr>
          <w:gridAfter w:val="1"/>
          <w:wAfter w:w="725" w:type="dxa"/>
          <w:trHeight w:val="467"/>
        </w:trPr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</w:tcPr>
          <w:p w:rsidR="00F97CF0" w:rsidRDefault="00F97CF0" w:rsidP="00F3714C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 w:rsidRPr="00580412">
              <w:t>Punishte</w:t>
            </w:r>
          </w:p>
          <w:p w:rsidR="00F97CF0" w:rsidRDefault="00F97CF0" w:rsidP="00F3714C">
            <w:pPr>
              <w:pStyle w:val="ListParagraph"/>
              <w:ind w:left="697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F97CF0" w:rsidRPr="00B32F7D" w:rsidRDefault="00F97CF0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325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97CF0" w:rsidRPr="00B32F7D" w:rsidRDefault="00F97CF0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F97CF0" w:rsidRPr="00B32F7D" w:rsidRDefault="00F97CF0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235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CF0" w:rsidRPr="00B32F7D" w:rsidRDefault="00F97CF0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7CF0" w:rsidRPr="00B32F7D" w:rsidRDefault="00F97CF0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160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7CF0" w:rsidRPr="00B32F7D" w:rsidRDefault="00F97CF0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F97CF0" w:rsidRPr="00B32F7D" w:rsidRDefault="00F97CF0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F97CF0" w:rsidRPr="00B32F7D" w:rsidRDefault="00F97CF0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Merge/>
          </w:tcPr>
          <w:p w:rsidR="00F97CF0" w:rsidRPr="00B32F7D" w:rsidRDefault="00F97CF0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11268" w:rsidRPr="00F6632B" w:rsidTr="00F3714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Default="002141DE" w:rsidP="00F3714C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>
              <w:t xml:space="preserve">Industri </w:t>
            </w:r>
            <w:r w:rsidR="00F3714C">
              <w:t>p</w:t>
            </w:r>
            <w:r>
              <w:t>ërpunuese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235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96" w:rsidRPr="00B32F7D" w:rsidRDefault="008D12A6" w:rsidP="00F3714C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</w:tcPr>
          <w:p w:rsidR="00617996" w:rsidRPr="00B32F7D" w:rsidRDefault="00617996" w:rsidP="00F3714C">
            <w:pPr>
              <w:pStyle w:val="BodyText2"/>
              <w:jc w:val="right"/>
              <w:rPr>
                <w:i w:val="0"/>
              </w:rPr>
            </w:pPr>
          </w:p>
        </w:tc>
      </w:tr>
      <w:tr w:rsidR="00C7082B" w:rsidTr="00671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165" w:type="dxa"/>
          <w:trHeight w:val="390"/>
        </w:trPr>
        <w:tc>
          <w:tcPr>
            <w:tcW w:w="7645" w:type="dxa"/>
            <w:gridSpan w:val="9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7082B" w:rsidRPr="00C7082B" w:rsidRDefault="00C7082B" w:rsidP="00F3714C">
            <w:pPr>
              <w:jc w:val="both"/>
              <w:rPr>
                <w:b/>
                <w:bCs/>
              </w:rPr>
            </w:pPr>
          </w:p>
        </w:tc>
      </w:tr>
    </w:tbl>
    <w:p w:rsidR="00BC295F" w:rsidRDefault="00BC295F" w:rsidP="00F6632B">
      <w:pPr>
        <w:jc w:val="center"/>
        <w:rPr>
          <w:b/>
          <w:bCs/>
        </w:rPr>
      </w:pPr>
    </w:p>
    <w:p w:rsidR="00C7082B" w:rsidRDefault="00C7082B" w:rsidP="00F6632B">
      <w:pPr>
        <w:jc w:val="center"/>
        <w:rPr>
          <w:b/>
          <w:bCs/>
        </w:rPr>
      </w:pPr>
    </w:p>
    <w:p w:rsidR="00F6632B" w:rsidRDefault="00BC01C1" w:rsidP="00F6632B">
      <w:pPr>
        <w:jc w:val="center"/>
        <w:rPr>
          <w:b/>
          <w:bCs/>
        </w:rPr>
      </w:pPr>
      <w:r>
        <w:rPr>
          <w:b/>
          <w:bCs/>
        </w:rPr>
        <w:t>Neni 2</w:t>
      </w:r>
    </w:p>
    <w:p w:rsidR="00F6632B" w:rsidRPr="00371EB2" w:rsidRDefault="00371EB2" w:rsidP="0075063B">
      <w:pPr>
        <w:pStyle w:val="Heading3"/>
        <w:rPr>
          <w:u w:val="none"/>
        </w:rPr>
      </w:pPr>
      <w:r>
        <w:rPr>
          <w:u w:val="none"/>
        </w:rPr>
        <w:t>Zona</w:t>
      </w:r>
      <w:r w:rsidR="00D8234A">
        <w:rPr>
          <w:u w:val="none"/>
        </w:rPr>
        <w:t>t</w:t>
      </w:r>
      <w:r w:rsidR="0075063B" w:rsidRPr="00371EB2">
        <w:rPr>
          <w:u w:val="none"/>
        </w:rPr>
        <w:t xml:space="preserve"> dhe </w:t>
      </w:r>
      <w:r w:rsidR="000A7BBB" w:rsidRPr="00371EB2">
        <w:rPr>
          <w:u w:val="none"/>
        </w:rPr>
        <w:t>Nën zonat</w:t>
      </w:r>
      <w:r>
        <w:rPr>
          <w:u w:val="none"/>
        </w:rPr>
        <w:t xml:space="preserve"> tatimore</w:t>
      </w:r>
    </w:p>
    <w:p w:rsidR="0075063B" w:rsidRPr="00F6632B" w:rsidRDefault="0075063B" w:rsidP="0075063B">
      <w:pPr>
        <w:jc w:val="center"/>
        <w:rPr>
          <w:b/>
          <w:bCs/>
          <w:u w:val="single"/>
        </w:rPr>
      </w:pPr>
    </w:p>
    <w:p w:rsidR="00F6632B" w:rsidRPr="0075063B" w:rsidRDefault="000510AC" w:rsidP="0075063B">
      <w:pPr>
        <w:pStyle w:val="Heading4"/>
      </w:pPr>
      <w:r>
        <w:t>Zona</w:t>
      </w:r>
      <w:r w:rsidRPr="000510AC">
        <w:rPr>
          <w:rFonts w:eastAsia="SimSun"/>
          <w:bCs w:val="0"/>
        </w:rPr>
        <w:t xml:space="preserve"> e parë I - </w:t>
      </w:r>
      <w:r w:rsidRPr="000510AC">
        <w:rPr>
          <w:rFonts w:eastAsia="SimSun"/>
          <w:b w:val="0"/>
          <w:bCs w:val="0"/>
        </w:rPr>
        <w:t xml:space="preserve"> përfshinë rrugët; </w:t>
      </w:r>
      <w:proofErr w:type="spellStart"/>
      <w:r w:rsidRPr="000510AC">
        <w:rPr>
          <w:rFonts w:eastAsia="SimSun"/>
          <w:b w:val="0"/>
          <w:bCs w:val="0"/>
        </w:rPr>
        <w:t>Abdullah</w:t>
      </w:r>
      <w:proofErr w:type="spellEnd"/>
      <w:r w:rsidRPr="000510AC">
        <w:rPr>
          <w:rFonts w:eastAsia="SimSun"/>
          <w:b w:val="0"/>
          <w:bCs w:val="0"/>
        </w:rPr>
        <w:t xml:space="preserve"> Tahiri, Bulevardi i Pavarësisë, </w:t>
      </w:r>
      <w:proofErr w:type="spellStart"/>
      <w:r w:rsidRPr="000510AC">
        <w:rPr>
          <w:rFonts w:eastAsia="SimSun"/>
          <w:b w:val="0"/>
          <w:bCs w:val="0"/>
        </w:rPr>
        <w:t>Xhemajl</w:t>
      </w:r>
      <w:proofErr w:type="spellEnd"/>
      <w:r w:rsidRPr="000510AC">
        <w:rPr>
          <w:rFonts w:eastAsia="SimSun"/>
          <w:b w:val="0"/>
          <w:bCs w:val="0"/>
        </w:rPr>
        <w:t xml:space="preserve"> </w:t>
      </w:r>
      <w:proofErr w:type="spellStart"/>
      <w:r w:rsidRPr="000510AC">
        <w:rPr>
          <w:rFonts w:eastAsia="SimSun"/>
          <w:b w:val="0"/>
          <w:bCs w:val="0"/>
        </w:rPr>
        <w:t>Mustafa</w:t>
      </w:r>
      <w:proofErr w:type="spellEnd"/>
      <w:r w:rsidRPr="000510AC">
        <w:rPr>
          <w:rFonts w:eastAsia="SimSun"/>
          <w:b w:val="0"/>
          <w:bCs w:val="0"/>
        </w:rPr>
        <w:t xml:space="preserve">, Adem Jashari, Zija Shemsiu,15 Qershori 99, </w:t>
      </w:r>
      <w:proofErr w:type="spellStart"/>
      <w:r w:rsidRPr="000510AC">
        <w:rPr>
          <w:rFonts w:eastAsia="SimSun"/>
          <w:b w:val="0"/>
          <w:bCs w:val="0"/>
        </w:rPr>
        <w:t>Medlin</w:t>
      </w:r>
      <w:proofErr w:type="spellEnd"/>
      <w:r w:rsidRPr="000510AC">
        <w:rPr>
          <w:rFonts w:eastAsia="SimSun"/>
          <w:b w:val="0"/>
          <w:bCs w:val="0"/>
        </w:rPr>
        <w:t xml:space="preserve"> </w:t>
      </w:r>
      <w:proofErr w:type="spellStart"/>
      <w:r w:rsidRPr="000510AC">
        <w:rPr>
          <w:rFonts w:eastAsia="SimSun"/>
          <w:b w:val="0"/>
          <w:bCs w:val="0"/>
        </w:rPr>
        <w:t>Olbrajt</w:t>
      </w:r>
      <w:proofErr w:type="spellEnd"/>
      <w:r w:rsidRPr="000510AC">
        <w:rPr>
          <w:rFonts w:eastAsia="SimSun"/>
          <w:b w:val="0"/>
          <w:bCs w:val="0"/>
        </w:rPr>
        <w:t xml:space="preserve">, </w:t>
      </w:r>
      <w:proofErr w:type="spellStart"/>
      <w:r w:rsidRPr="000510AC">
        <w:rPr>
          <w:rFonts w:eastAsia="SimSun"/>
          <w:b w:val="0"/>
          <w:bCs w:val="0"/>
        </w:rPr>
        <w:t>Shadërvani</w:t>
      </w:r>
      <w:proofErr w:type="spellEnd"/>
      <w:r w:rsidRPr="000510AC">
        <w:rPr>
          <w:rFonts w:eastAsia="SimSun"/>
          <w:b w:val="0"/>
          <w:bCs w:val="0"/>
        </w:rPr>
        <w:t xml:space="preserve">, </w:t>
      </w:r>
      <w:proofErr w:type="spellStart"/>
      <w:r w:rsidRPr="000510AC">
        <w:rPr>
          <w:rFonts w:eastAsia="SimSun"/>
          <w:b w:val="0"/>
          <w:bCs w:val="0"/>
        </w:rPr>
        <w:t>Gjinollve</w:t>
      </w:r>
      <w:proofErr w:type="spellEnd"/>
      <w:r w:rsidRPr="000510AC">
        <w:rPr>
          <w:rFonts w:eastAsia="SimSun"/>
          <w:b w:val="0"/>
          <w:bCs w:val="0"/>
        </w:rPr>
        <w:t xml:space="preserve">, </w:t>
      </w:r>
      <w:proofErr w:type="spellStart"/>
      <w:r w:rsidRPr="000510AC">
        <w:rPr>
          <w:rFonts w:eastAsia="SimSun"/>
          <w:b w:val="0"/>
          <w:bCs w:val="0"/>
        </w:rPr>
        <w:t>Haki</w:t>
      </w:r>
      <w:proofErr w:type="spellEnd"/>
      <w:r w:rsidRPr="000510AC">
        <w:rPr>
          <w:rFonts w:eastAsia="SimSun"/>
          <w:b w:val="0"/>
          <w:bCs w:val="0"/>
        </w:rPr>
        <w:t xml:space="preserve"> </w:t>
      </w:r>
      <w:proofErr w:type="spellStart"/>
      <w:r w:rsidRPr="000510AC">
        <w:rPr>
          <w:rFonts w:eastAsia="SimSun"/>
          <w:b w:val="0"/>
          <w:bCs w:val="0"/>
        </w:rPr>
        <w:t>Myderizi</w:t>
      </w:r>
      <w:proofErr w:type="spellEnd"/>
      <w:r w:rsidRPr="000510AC">
        <w:rPr>
          <w:rFonts w:eastAsia="SimSun"/>
          <w:b w:val="0"/>
          <w:bCs w:val="0"/>
        </w:rPr>
        <w:t xml:space="preserve"> nga </w:t>
      </w:r>
      <w:proofErr w:type="spellStart"/>
      <w:r w:rsidRPr="000510AC">
        <w:rPr>
          <w:rFonts w:eastAsia="SimSun"/>
          <w:b w:val="0"/>
          <w:bCs w:val="0"/>
        </w:rPr>
        <w:t>rr.Haqif</w:t>
      </w:r>
      <w:proofErr w:type="spellEnd"/>
      <w:r w:rsidRPr="000510AC">
        <w:rPr>
          <w:rFonts w:eastAsia="SimSun"/>
          <w:b w:val="0"/>
          <w:bCs w:val="0"/>
        </w:rPr>
        <w:t xml:space="preserve"> Tetova deri te udhëkryqi i Rr.15 Qershori 99,  </w:t>
      </w:r>
      <w:proofErr w:type="spellStart"/>
      <w:r w:rsidRPr="000510AC">
        <w:rPr>
          <w:rFonts w:eastAsia="SimSun"/>
          <w:b w:val="0"/>
          <w:bCs w:val="0"/>
        </w:rPr>
        <w:t>Haqif</w:t>
      </w:r>
      <w:proofErr w:type="spellEnd"/>
      <w:r w:rsidRPr="000510AC">
        <w:rPr>
          <w:rFonts w:eastAsia="SimSun"/>
          <w:b w:val="0"/>
          <w:bCs w:val="0"/>
        </w:rPr>
        <w:t xml:space="preserve"> Tetova(një pjesë), </w:t>
      </w:r>
      <w:proofErr w:type="spellStart"/>
      <w:r w:rsidRPr="000510AC">
        <w:rPr>
          <w:rFonts w:eastAsia="SimSun"/>
          <w:b w:val="0"/>
          <w:bCs w:val="0"/>
        </w:rPr>
        <w:t>Esat</w:t>
      </w:r>
      <w:proofErr w:type="spellEnd"/>
      <w:r w:rsidRPr="000510AC">
        <w:rPr>
          <w:rFonts w:eastAsia="SimSun"/>
          <w:b w:val="0"/>
          <w:bCs w:val="0"/>
        </w:rPr>
        <w:t xml:space="preserve"> Berisha prej </w:t>
      </w:r>
      <w:proofErr w:type="spellStart"/>
      <w:r w:rsidRPr="000510AC">
        <w:rPr>
          <w:rFonts w:eastAsia="SimSun"/>
          <w:b w:val="0"/>
          <w:bCs w:val="0"/>
        </w:rPr>
        <w:t>rr.Xhemë</w:t>
      </w:r>
      <w:proofErr w:type="spellEnd"/>
      <w:r w:rsidRPr="000510AC">
        <w:rPr>
          <w:rFonts w:eastAsia="SimSun"/>
          <w:b w:val="0"/>
          <w:bCs w:val="0"/>
        </w:rPr>
        <w:t xml:space="preserve"> </w:t>
      </w:r>
      <w:proofErr w:type="spellStart"/>
      <w:r w:rsidRPr="000510AC">
        <w:rPr>
          <w:rFonts w:eastAsia="SimSun"/>
          <w:b w:val="0"/>
          <w:bCs w:val="0"/>
        </w:rPr>
        <w:t>Topalla</w:t>
      </w:r>
      <w:proofErr w:type="spellEnd"/>
      <w:r w:rsidRPr="000510AC">
        <w:rPr>
          <w:rFonts w:eastAsia="SimSun"/>
          <w:b w:val="0"/>
          <w:bCs w:val="0"/>
        </w:rPr>
        <w:t xml:space="preserve"> deri te </w:t>
      </w:r>
      <w:proofErr w:type="spellStart"/>
      <w:r w:rsidRPr="000510AC">
        <w:rPr>
          <w:rFonts w:eastAsia="SimSun"/>
          <w:b w:val="0"/>
          <w:bCs w:val="0"/>
        </w:rPr>
        <w:t>rr.Makfire</w:t>
      </w:r>
      <w:proofErr w:type="spellEnd"/>
      <w:r w:rsidRPr="000510AC">
        <w:rPr>
          <w:rFonts w:eastAsia="SimSun"/>
          <w:b w:val="0"/>
          <w:bCs w:val="0"/>
        </w:rPr>
        <w:t xml:space="preserve"> Deda,  Mulla </w:t>
      </w:r>
      <w:proofErr w:type="spellStart"/>
      <w:r w:rsidRPr="000510AC">
        <w:rPr>
          <w:rFonts w:eastAsia="SimSun"/>
          <w:b w:val="0"/>
          <w:bCs w:val="0"/>
        </w:rPr>
        <w:t>Idrizi</w:t>
      </w:r>
      <w:proofErr w:type="spellEnd"/>
      <w:r w:rsidRPr="000510AC">
        <w:rPr>
          <w:rFonts w:eastAsia="SimSun"/>
          <w:b w:val="0"/>
          <w:bCs w:val="0"/>
        </w:rPr>
        <w:t xml:space="preserve">, nga qendra deri te xhamia e vogël dhe </w:t>
      </w:r>
      <w:proofErr w:type="spellStart"/>
      <w:r w:rsidRPr="000510AC">
        <w:rPr>
          <w:rFonts w:eastAsia="SimSun"/>
          <w:b w:val="0"/>
          <w:bCs w:val="0"/>
        </w:rPr>
        <w:t>Mehmet</w:t>
      </w:r>
      <w:proofErr w:type="spellEnd"/>
      <w:r w:rsidRPr="000510AC">
        <w:rPr>
          <w:rFonts w:eastAsia="SimSun"/>
          <w:b w:val="0"/>
          <w:bCs w:val="0"/>
        </w:rPr>
        <w:t xml:space="preserve"> </w:t>
      </w:r>
      <w:proofErr w:type="spellStart"/>
      <w:r w:rsidRPr="000510AC">
        <w:rPr>
          <w:rFonts w:eastAsia="SimSun"/>
          <w:b w:val="0"/>
          <w:bCs w:val="0"/>
        </w:rPr>
        <w:t>Akif</w:t>
      </w:r>
      <w:proofErr w:type="spellEnd"/>
      <w:r w:rsidRPr="000510AC">
        <w:rPr>
          <w:rFonts w:eastAsia="SimSun"/>
          <w:b w:val="0"/>
          <w:bCs w:val="0"/>
        </w:rPr>
        <w:t xml:space="preserve">  </w:t>
      </w:r>
      <w:proofErr w:type="spellStart"/>
      <w:r w:rsidRPr="000510AC">
        <w:rPr>
          <w:rFonts w:eastAsia="SimSun"/>
          <w:b w:val="0"/>
          <w:bCs w:val="0"/>
        </w:rPr>
        <w:t>Ersoj</w:t>
      </w:r>
      <w:proofErr w:type="spellEnd"/>
    </w:p>
    <w:p w:rsidR="0075063B" w:rsidRDefault="0075063B" w:rsidP="0075063B">
      <w:pPr>
        <w:jc w:val="both"/>
        <w:rPr>
          <w:b/>
          <w:bCs/>
          <w:color w:val="000000"/>
          <w:u w:val="single"/>
        </w:rPr>
      </w:pPr>
    </w:p>
    <w:p w:rsidR="0075063B" w:rsidRPr="000510AC" w:rsidRDefault="000A7BBB" w:rsidP="0075063B">
      <w:pPr>
        <w:pStyle w:val="Heading5"/>
      </w:pPr>
      <w:r w:rsidRPr="000510AC">
        <w:t>Nën zona</w:t>
      </w:r>
      <w:r w:rsidR="0075063B" w:rsidRPr="000510AC">
        <w:t xml:space="preserve"> </w:t>
      </w:r>
      <w:r w:rsidR="000510AC" w:rsidRPr="000510AC">
        <w:t>Ia</w:t>
      </w:r>
    </w:p>
    <w:p w:rsidR="0075063B" w:rsidRDefault="0075063B" w:rsidP="0075063B">
      <w:pPr>
        <w:jc w:val="both"/>
        <w:rPr>
          <w:bCs/>
          <w:color w:val="000000"/>
        </w:rPr>
      </w:pPr>
    </w:p>
    <w:p w:rsidR="000510AC" w:rsidRPr="000510AC" w:rsidRDefault="000510AC" w:rsidP="000510AC">
      <w:pPr>
        <w:jc w:val="both"/>
        <w:rPr>
          <w:rFonts w:eastAsia="SimSun"/>
        </w:rPr>
      </w:pPr>
      <w:r w:rsidRPr="000510AC">
        <w:rPr>
          <w:rFonts w:eastAsia="SimSun"/>
          <w:b/>
        </w:rPr>
        <w:t xml:space="preserve"> </w:t>
      </w:r>
      <w:proofErr w:type="spellStart"/>
      <w:r w:rsidRPr="000510AC">
        <w:rPr>
          <w:rFonts w:eastAsia="SimSun"/>
        </w:rPr>
        <w:t>Idriz</w:t>
      </w:r>
      <w:proofErr w:type="spellEnd"/>
      <w:r w:rsidRPr="000510AC">
        <w:rPr>
          <w:rFonts w:eastAsia="SimSun"/>
        </w:rPr>
        <w:t xml:space="preserve"> </w:t>
      </w:r>
      <w:proofErr w:type="spellStart"/>
      <w:r w:rsidRPr="000510AC">
        <w:rPr>
          <w:rFonts w:eastAsia="SimSun"/>
        </w:rPr>
        <w:t>Seferi</w:t>
      </w:r>
      <w:proofErr w:type="spellEnd"/>
      <w:r w:rsidRPr="000510AC">
        <w:rPr>
          <w:rFonts w:eastAsia="SimSun"/>
        </w:rPr>
        <w:t xml:space="preserve"> nga </w:t>
      </w:r>
      <w:proofErr w:type="spellStart"/>
      <w:r w:rsidRPr="000510AC">
        <w:rPr>
          <w:rFonts w:eastAsia="SimSun"/>
        </w:rPr>
        <w:t>stac.auto</w:t>
      </w:r>
      <w:proofErr w:type="spellEnd"/>
      <w:r w:rsidRPr="000510AC">
        <w:rPr>
          <w:rFonts w:eastAsia="SimSun"/>
        </w:rPr>
        <w:t xml:space="preserve">.-Kosova </w:t>
      </w:r>
      <w:proofErr w:type="spellStart"/>
      <w:r w:rsidRPr="000510AC">
        <w:rPr>
          <w:rFonts w:eastAsia="SimSun"/>
        </w:rPr>
        <w:t>petrol</w:t>
      </w:r>
      <w:proofErr w:type="spellEnd"/>
      <w:r w:rsidRPr="000510AC">
        <w:rPr>
          <w:rFonts w:eastAsia="SimSun"/>
        </w:rPr>
        <w:t xml:space="preserve">, Isa </w:t>
      </w:r>
      <w:proofErr w:type="spellStart"/>
      <w:r w:rsidRPr="000510AC">
        <w:rPr>
          <w:rFonts w:eastAsia="SimSun"/>
        </w:rPr>
        <w:t>Boletini</w:t>
      </w:r>
      <w:proofErr w:type="spellEnd"/>
      <w:r w:rsidRPr="000510AC">
        <w:rPr>
          <w:rFonts w:eastAsia="SimSun"/>
        </w:rPr>
        <w:t xml:space="preserve">, Gjon </w:t>
      </w:r>
      <w:proofErr w:type="spellStart"/>
      <w:r w:rsidRPr="000510AC">
        <w:rPr>
          <w:rFonts w:eastAsia="SimSun"/>
        </w:rPr>
        <w:t>Sereqi</w:t>
      </w:r>
      <w:proofErr w:type="spellEnd"/>
      <w:r w:rsidRPr="000510AC">
        <w:rPr>
          <w:rFonts w:eastAsia="SimSun"/>
        </w:rPr>
        <w:t xml:space="preserve">, Xhemë </w:t>
      </w:r>
      <w:proofErr w:type="spellStart"/>
      <w:r w:rsidRPr="000510AC">
        <w:rPr>
          <w:rFonts w:eastAsia="SimSun"/>
        </w:rPr>
        <w:t>Topalla</w:t>
      </w:r>
      <w:proofErr w:type="spellEnd"/>
      <w:r w:rsidRPr="000510AC">
        <w:rPr>
          <w:rFonts w:eastAsia="SimSun"/>
        </w:rPr>
        <w:t xml:space="preserve">, </w:t>
      </w:r>
      <w:proofErr w:type="spellStart"/>
      <w:r w:rsidRPr="000510AC">
        <w:rPr>
          <w:rFonts w:eastAsia="SimSun"/>
        </w:rPr>
        <w:t>Metush</w:t>
      </w:r>
      <w:proofErr w:type="spellEnd"/>
      <w:r w:rsidRPr="000510AC">
        <w:rPr>
          <w:rFonts w:eastAsia="SimSun"/>
        </w:rPr>
        <w:t xml:space="preserve"> Krasniqi, </w:t>
      </w:r>
      <w:proofErr w:type="spellStart"/>
      <w:r w:rsidRPr="000510AC">
        <w:rPr>
          <w:rFonts w:eastAsia="SimSun"/>
        </w:rPr>
        <w:t>Nato</w:t>
      </w:r>
      <w:proofErr w:type="spellEnd"/>
      <w:r w:rsidRPr="000510AC">
        <w:rPr>
          <w:rFonts w:eastAsia="SimSun"/>
        </w:rPr>
        <w:t xml:space="preserve"> 99, 28 Nëntori, Ramiz </w:t>
      </w:r>
      <w:proofErr w:type="spellStart"/>
      <w:r w:rsidRPr="000510AC">
        <w:rPr>
          <w:rFonts w:eastAsia="SimSun"/>
        </w:rPr>
        <w:t>Cernica</w:t>
      </w:r>
      <w:proofErr w:type="spellEnd"/>
      <w:r w:rsidRPr="000510AC">
        <w:rPr>
          <w:rFonts w:eastAsia="SimSun"/>
        </w:rPr>
        <w:t xml:space="preserve"> , Nëna Terezë deri te Qarkorja, </w:t>
      </w:r>
      <w:proofErr w:type="spellStart"/>
      <w:r w:rsidRPr="000510AC">
        <w:rPr>
          <w:rFonts w:eastAsia="SimSun"/>
        </w:rPr>
        <w:t>Avdullah</w:t>
      </w:r>
      <w:proofErr w:type="spellEnd"/>
      <w:r w:rsidRPr="000510AC">
        <w:rPr>
          <w:rFonts w:eastAsia="SimSun"/>
        </w:rPr>
        <w:t xml:space="preserve"> Presheva deri te </w:t>
      </w:r>
      <w:proofErr w:type="spellStart"/>
      <w:r w:rsidRPr="000510AC">
        <w:rPr>
          <w:rFonts w:eastAsia="SimSun"/>
        </w:rPr>
        <w:t>rr.V.Frashëri</w:t>
      </w:r>
      <w:proofErr w:type="spellEnd"/>
      <w:r w:rsidRPr="000510AC">
        <w:rPr>
          <w:rFonts w:eastAsia="SimSun"/>
        </w:rPr>
        <w:t xml:space="preserve">, </w:t>
      </w:r>
      <w:proofErr w:type="spellStart"/>
      <w:r w:rsidRPr="000510AC">
        <w:rPr>
          <w:rFonts w:eastAsia="SimSun"/>
        </w:rPr>
        <w:t>Sadullah</w:t>
      </w:r>
      <w:proofErr w:type="spellEnd"/>
      <w:r w:rsidRPr="000510AC">
        <w:rPr>
          <w:rFonts w:eastAsia="SimSun"/>
        </w:rPr>
        <w:t xml:space="preserve"> </w:t>
      </w:r>
      <w:proofErr w:type="spellStart"/>
      <w:r w:rsidRPr="000510AC">
        <w:rPr>
          <w:rFonts w:eastAsia="SimSun"/>
        </w:rPr>
        <w:t>Brestovci</w:t>
      </w:r>
      <w:proofErr w:type="spellEnd"/>
      <w:r w:rsidRPr="000510AC">
        <w:rPr>
          <w:rFonts w:eastAsia="SimSun"/>
        </w:rPr>
        <w:t xml:space="preserve"> deri te udhëkryqi </w:t>
      </w:r>
      <w:proofErr w:type="spellStart"/>
      <w:r w:rsidRPr="000510AC">
        <w:rPr>
          <w:rFonts w:eastAsia="SimSun"/>
        </w:rPr>
        <w:t>rr.R</w:t>
      </w:r>
      <w:proofErr w:type="spellEnd"/>
      <w:r w:rsidRPr="000510AC">
        <w:rPr>
          <w:rFonts w:eastAsia="SimSun"/>
        </w:rPr>
        <w:t xml:space="preserve">. </w:t>
      </w:r>
      <w:proofErr w:type="spellStart"/>
      <w:r w:rsidRPr="000510AC">
        <w:rPr>
          <w:rFonts w:eastAsia="SimSun"/>
        </w:rPr>
        <w:t>Dajkovci</w:t>
      </w:r>
      <w:proofErr w:type="spellEnd"/>
      <w:r w:rsidRPr="000510AC">
        <w:rPr>
          <w:rFonts w:eastAsia="SimSun"/>
        </w:rPr>
        <w:t xml:space="preserve">, </w:t>
      </w:r>
      <w:proofErr w:type="spellStart"/>
      <w:r w:rsidRPr="000510AC">
        <w:rPr>
          <w:rFonts w:eastAsia="SimSun"/>
        </w:rPr>
        <w:t>Haqif</w:t>
      </w:r>
      <w:proofErr w:type="spellEnd"/>
      <w:r w:rsidRPr="000510AC">
        <w:rPr>
          <w:rFonts w:eastAsia="SimSun"/>
        </w:rPr>
        <w:t xml:space="preserve"> Tetova ,</w:t>
      </w:r>
      <w:proofErr w:type="spellStart"/>
      <w:r w:rsidRPr="000510AC">
        <w:rPr>
          <w:rFonts w:eastAsia="SimSun"/>
        </w:rPr>
        <w:t>Esat</w:t>
      </w:r>
      <w:proofErr w:type="spellEnd"/>
      <w:r w:rsidRPr="000510AC">
        <w:rPr>
          <w:rFonts w:eastAsia="SimSun"/>
        </w:rPr>
        <w:t xml:space="preserve"> Berisha nga xhamia deri rrethi ne lagjen Iliria,   </w:t>
      </w:r>
      <w:proofErr w:type="spellStart"/>
      <w:r w:rsidRPr="000510AC">
        <w:rPr>
          <w:rFonts w:eastAsia="SimSun"/>
        </w:rPr>
        <w:t>Marije</w:t>
      </w:r>
      <w:proofErr w:type="spellEnd"/>
      <w:r w:rsidRPr="000510AC">
        <w:rPr>
          <w:rFonts w:eastAsia="SimSun"/>
        </w:rPr>
        <w:t xml:space="preserve"> </w:t>
      </w:r>
      <w:proofErr w:type="spellStart"/>
      <w:r w:rsidRPr="000510AC">
        <w:rPr>
          <w:rFonts w:eastAsia="SimSun"/>
        </w:rPr>
        <w:t>Shllaku</w:t>
      </w:r>
      <w:proofErr w:type="spellEnd"/>
      <w:r w:rsidRPr="000510AC">
        <w:rPr>
          <w:rFonts w:eastAsia="SimSun"/>
        </w:rPr>
        <w:t xml:space="preserve">  deri te udhëkryqi i rrugës për </w:t>
      </w:r>
      <w:proofErr w:type="spellStart"/>
      <w:r w:rsidRPr="000510AC">
        <w:rPr>
          <w:rFonts w:eastAsia="SimSun"/>
        </w:rPr>
        <w:t>Fsh</w:t>
      </w:r>
      <w:proofErr w:type="spellEnd"/>
      <w:r w:rsidRPr="000510AC">
        <w:rPr>
          <w:rFonts w:eastAsia="SimSun"/>
        </w:rPr>
        <w:t xml:space="preserve">, </w:t>
      </w:r>
      <w:proofErr w:type="spellStart"/>
      <w:r w:rsidRPr="000510AC">
        <w:rPr>
          <w:rFonts w:eastAsia="SimSun"/>
        </w:rPr>
        <w:t>Shillovë</w:t>
      </w:r>
      <w:proofErr w:type="spellEnd"/>
      <w:r w:rsidRPr="000510AC">
        <w:rPr>
          <w:rFonts w:eastAsia="SimSun"/>
        </w:rPr>
        <w:t>.</w:t>
      </w:r>
      <w:r w:rsidRPr="000510AC">
        <w:rPr>
          <w:rFonts w:eastAsia="SimSun"/>
          <w:b/>
        </w:rPr>
        <w:t xml:space="preserve"> </w:t>
      </w:r>
      <w:r w:rsidRPr="000510AC">
        <w:rPr>
          <w:rFonts w:eastAsia="SimSun"/>
        </w:rPr>
        <w:t xml:space="preserve">Qarku Jugu (nga rrethi deri te rruga Mulla </w:t>
      </w:r>
      <w:proofErr w:type="spellStart"/>
      <w:r w:rsidRPr="000510AC">
        <w:rPr>
          <w:rFonts w:eastAsia="SimSun"/>
        </w:rPr>
        <w:t>Idrzi</w:t>
      </w:r>
      <w:proofErr w:type="spellEnd"/>
      <w:r w:rsidRPr="000510AC">
        <w:rPr>
          <w:rFonts w:eastAsia="SimSun"/>
        </w:rPr>
        <w:t>).</w:t>
      </w:r>
    </w:p>
    <w:p w:rsidR="0075063B" w:rsidRDefault="0075063B" w:rsidP="0075063B">
      <w:pPr>
        <w:jc w:val="both"/>
        <w:rPr>
          <w:bCs/>
          <w:color w:val="000000"/>
        </w:rPr>
      </w:pPr>
    </w:p>
    <w:p w:rsidR="0075063B" w:rsidRPr="0075063B" w:rsidRDefault="005E4F46" w:rsidP="0075063B">
      <w:pPr>
        <w:pStyle w:val="Heading4"/>
      </w:pPr>
      <w:r>
        <w:t xml:space="preserve">Nën zona </w:t>
      </w:r>
      <w:proofErr w:type="spellStart"/>
      <w:r>
        <w:t>Ib</w:t>
      </w:r>
      <w:proofErr w:type="spellEnd"/>
    </w:p>
    <w:p w:rsidR="0075063B" w:rsidRDefault="0075063B" w:rsidP="0075063B">
      <w:pPr>
        <w:jc w:val="both"/>
        <w:rPr>
          <w:bCs/>
        </w:rPr>
      </w:pPr>
    </w:p>
    <w:p w:rsidR="0075063B" w:rsidRDefault="005E4F46" w:rsidP="0075063B">
      <w:pPr>
        <w:jc w:val="both"/>
        <w:rPr>
          <w:rFonts w:eastAsia="SimSun"/>
          <w:b/>
        </w:rPr>
      </w:pPr>
      <w:proofErr w:type="spellStart"/>
      <w:r w:rsidRPr="005E4F46">
        <w:rPr>
          <w:rFonts w:eastAsia="SimSun"/>
        </w:rPr>
        <w:t>Beqir</w:t>
      </w:r>
      <w:proofErr w:type="spellEnd"/>
      <w:r w:rsidRPr="005E4F46">
        <w:rPr>
          <w:rFonts w:eastAsia="SimSun"/>
        </w:rPr>
        <w:t xml:space="preserve"> Musliu rrugët </w:t>
      </w:r>
      <w:r w:rsidRPr="005E4F46">
        <w:rPr>
          <w:rFonts w:eastAsia="SimSun"/>
          <w:b/>
        </w:rPr>
        <w:t>1a-9</w:t>
      </w:r>
      <w:r w:rsidRPr="005E4F46">
        <w:rPr>
          <w:rFonts w:eastAsia="SimSun"/>
        </w:rPr>
        <w:t xml:space="preserve">, Muharrem Ibrahimi rrugët </w:t>
      </w:r>
      <w:r w:rsidRPr="005E4F46">
        <w:rPr>
          <w:rFonts w:eastAsia="SimSun"/>
          <w:b/>
        </w:rPr>
        <w:t>1-9</w:t>
      </w:r>
      <w:r w:rsidRPr="005E4F46">
        <w:rPr>
          <w:rFonts w:eastAsia="SimSun"/>
        </w:rPr>
        <w:t xml:space="preserve">, Enver </w:t>
      </w:r>
      <w:proofErr w:type="spellStart"/>
      <w:r w:rsidRPr="005E4F46">
        <w:rPr>
          <w:rFonts w:eastAsia="SimSun"/>
        </w:rPr>
        <w:t>Miftari</w:t>
      </w:r>
      <w:proofErr w:type="spellEnd"/>
      <w:r w:rsidRPr="005E4F46">
        <w:rPr>
          <w:rFonts w:eastAsia="SimSun"/>
        </w:rPr>
        <w:t xml:space="preserve">, Lidhja e Prizrenit, </w:t>
      </w:r>
      <w:proofErr w:type="spellStart"/>
      <w:r w:rsidRPr="005E4F46">
        <w:rPr>
          <w:rFonts w:eastAsia="SimSun"/>
        </w:rPr>
        <w:t>Pajazit</w:t>
      </w:r>
      <w:proofErr w:type="spellEnd"/>
      <w:r w:rsidRPr="005E4F46">
        <w:rPr>
          <w:rFonts w:eastAsia="SimSun"/>
        </w:rPr>
        <w:t xml:space="preserve"> Ahmeti (nga udhëkryqi rruga e Prishtinës deri te vetëshërbimi “</w:t>
      </w:r>
      <w:proofErr w:type="spellStart"/>
      <w:r w:rsidRPr="005E4F46">
        <w:rPr>
          <w:rFonts w:eastAsia="SimSun"/>
        </w:rPr>
        <w:t>Pireva</w:t>
      </w:r>
      <w:proofErr w:type="spellEnd"/>
      <w:r w:rsidRPr="005E4F46">
        <w:rPr>
          <w:rFonts w:eastAsia="SimSun"/>
        </w:rPr>
        <w:t xml:space="preserve">”, Mulla </w:t>
      </w:r>
      <w:proofErr w:type="spellStart"/>
      <w:r w:rsidRPr="005E4F46">
        <w:rPr>
          <w:rFonts w:eastAsia="SimSun"/>
        </w:rPr>
        <w:t>Idrizi</w:t>
      </w:r>
      <w:proofErr w:type="spellEnd"/>
      <w:r w:rsidRPr="005E4F46">
        <w:rPr>
          <w:rFonts w:eastAsia="SimSun"/>
        </w:rPr>
        <w:t xml:space="preserve">(qarkorja Jugu – Fabrika e Radiatorëve), </w:t>
      </w:r>
      <w:proofErr w:type="spellStart"/>
      <w:r w:rsidRPr="005E4F46">
        <w:rPr>
          <w:rFonts w:eastAsia="SimSun"/>
        </w:rPr>
        <w:t>Hamdi</w:t>
      </w:r>
      <w:proofErr w:type="spellEnd"/>
      <w:r w:rsidRPr="005E4F46">
        <w:rPr>
          <w:rFonts w:eastAsia="SimSun"/>
        </w:rPr>
        <w:t xml:space="preserve"> Kurteshi deri te qarkorja Jugu, Rruga e Prishtinës (nga  Qarkorja deri te  Pompa </w:t>
      </w:r>
      <w:proofErr w:type="spellStart"/>
      <w:r w:rsidRPr="005E4F46">
        <w:rPr>
          <w:rFonts w:eastAsia="SimSun"/>
        </w:rPr>
        <w:t>Calabria</w:t>
      </w:r>
      <w:proofErr w:type="spellEnd"/>
      <w:r w:rsidRPr="005E4F46">
        <w:rPr>
          <w:rFonts w:eastAsia="SimSun"/>
        </w:rPr>
        <w:t xml:space="preserve">), </w:t>
      </w:r>
      <w:proofErr w:type="spellStart"/>
      <w:r w:rsidRPr="005E4F46">
        <w:rPr>
          <w:rFonts w:eastAsia="SimSun"/>
        </w:rPr>
        <w:t>Idriz</w:t>
      </w:r>
      <w:proofErr w:type="spellEnd"/>
      <w:r w:rsidRPr="005E4F46">
        <w:rPr>
          <w:rFonts w:eastAsia="SimSun"/>
        </w:rPr>
        <w:t xml:space="preserve"> </w:t>
      </w:r>
      <w:proofErr w:type="spellStart"/>
      <w:r w:rsidRPr="005E4F46">
        <w:rPr>
          <w:rFonts w:eastAsia="SimSun"/>
        </w:rPr>
        <w:t>Seferi</w:t>
      </w:r>
      <w:proofErr w:type="spellEnd"/>
      <w:r w:rsidRPr="005E4F46">
        <w:rPr>
          <w:rFonts w:eastAsia="SimSun"/>
        </w:rPr>
        <w:t xml:space="preserve"> (prej Kosova </w:t>
      </w:r>
      <w:proofErr w:type="spellStart"/>
      <w:r w:rsidRPr="005E4F46">
        <w:rPr>
          <w:rFonts w:eastAsia="SimSun"/>
        </w:rPr>
        <w:t>Petrol</w:t>
      </w:r>
      <w:proofErr w:type="spellEnd"/>
      <w:r w:rsidRPr="005E4F46">
        <w:rPr>
          <w:rFonts w:eastAsia="SimSun"/>
        </w:rPr>
        <w:t xml:space="preserve">-udhëkryqi i Qarkores) </w:t>
      </w:r>
      <w:proofErr w:type="spellStart"/>
      <w:r w:rsidRPr="005E4F46">
        <w:rPr>
          <w:rFonts w:eastAsia="SimSun"/>
        </w:rPr>
        <w:t>Haki</w:t>
      </w:r>
      <w:proofErr w:type="spellEnd"/>
      <w:r w:rsidRPr="005E4F46">
        <w:rPr>
          <w:rFonts w:eastAsia="SimSun"/>
        </w:rPr>
        <w:t xml:space="preserve"> </w:t>
      </w:r>
      <w:proofErr w:type="spellStart"/>
      <w:r w:rsidRPr="005E4F46">
        <w:rPr>
          <w:rFonts w:eastAsia="SimSun"/>
        </w:rPr>
        <w:t>Myderizi</w:t>
      </w:r>
      <w:proofErr w:type="spellEnd"/>
      <w:r w:rsidRPr="005E4F46">
        <w:rPr>
          <w:rFonts w:eastAsia="SimSun"/>
        </w:rPr>
        <w:t xml:space="preserve">,  </w:t>
      </w:r>
      <w:proofErr w:type="spellStart"/>
      <w:r w:rsidRPr="005E4F46">
        <w:rPr>
          <w:rFonts w:eastAsia="SimSun"/>
        </w:rPr>
        <w:t>Halim</w:t>
      </w:r>
      <w:proofErr w:type="spellEnd"/>
      <w:r w:rsidRPr="005E4F46">
        <w:rPr>
          <w:rFonts w:eastAsia="SimSun"/>
        </w:rPr>
        <w:t xml:space="preserve"> </w:t>
      </w:r>
      <w:proofErr w:type="spellStart"/>
      <w:r w:rsidRPr="00291DA7">
        <w:rPr>
          <w:rFonts w:eastAsia="SimSun"/>
        </w:rPr>
        <w:t>Orana</w:t>
      </w:r>
      <w:r w:rsidRPr="005E4F46">
        <w:rPr>
          <w:rFonts w:eastAsia="SimSun"/>
          <w:b/>
        </w:rPr>
        <w:t>,</w:t>
      </w:r>
      <w:r w:rsidRPr="005E4F46">
        <w:rPr>
          <w:rFonts w:eastAsia="SimSun"/>
        </w:rPr>
        <w:t>Qarku</w:t>
      </w:r>
      <w:proofErr w:type="spellEnd"/>
      <w:r w:rsidRPr="005E4F46">
        <w:rPr>
          <w:rFonts w:eastAsia="SimSun"/>
        </w:rPr>
        <w:t xml:space="preserve"> Jugu</w:t>
      </w:r>
      <w:r w:rsidRPr="005E4F46">
        <w:rPr>
          <w:rFonts w:eastAsia="SimSun"/>
          <w:b/>
        </w:rPr>
        <w:t xml:space="preserve"> </w:t>
      </w:r>
      <w:r w:rsidRPr="005E4F46">
        <w:rPr>
          <w:rFonts w:eastAsia="SimSun"/>
        </w:rPr>
        <w:t xml:space="preserve">nga </w:t>
      </w:r>
      <w:proofErr w:type="spellStart"/>
      <w:r w:rsidRPr="005E4F46">
        <w:rPr>
          <w:rFonts w:eastAsia="SimSun"/>
        </w:rPr>
        <w:t>rr.Mulla</w:t>
      </w:r>
      <w:proofErr w:type="spellEnd"/>
      <w:r w:rsidRPr="005E4F46">
        <w:rPr>
          <w:rFonts w:eastAsia="SimSun"/>
        </w:rPr>
        <w:t xml:space="preserve"> </w:t>
      </w:r>
      <w:proofErr w:type="spellStart"/>
      <w:r w:rsidRPr="005E4F46">
        <w:rPr>
          <w:rFonts w:eastAsia="SimSun"/>
        </w:rPr>
        <w:t>Idrizi</w:t>
      </w:r>
      <w:proofErr w:type="spellEnd"/>
      <w:r w:rsidRPr="005E4F46">
        <w:rPr>
          <w:rFonts w:eastAsia="SimSun"/>
        </w:rPr>
        <w:t xml:space="preserve"> deri te rruga </w:t>
      </w:r>
      <w:proofErr w:type="spellStart"/>
      <w:r w:rsidRPr="005E4F46">
        <w:rPr>
          <w:rFonts w:eastAsia="SimSun"/>
        </w:rPr>
        <w:t>Hamdi</w:t>
      </w:r>
      <w:proofErr w:type="spellEnd"/>
      <w:r w:rsidRPr="005E4F46">
        <w:rPr>
          <w:rFonts w:eastAsia="SimSun"/>
        </w:rPr>
        <w:t xml:space="preserve"> Kurteshi(</w:t>
      </w:r>
      <w:proofErr w:type="spellStart"/>
      <w:r w:rsidRPr="005E4F46">
        <w:rPr>
          <w:rFonts w:eastAsia="SimSun"/>
        </w:rPr>
        <w:t>Malisheves</w:t>
      </w:r>
      <w:proofErr w:type="spellEnd"/>
      <w:r w:rsidRPr="005E4F46">
        <w:rPr>
          <w:rFonts w:eastAsia="SimSun"/>
          <w:b/>
        </w:rPr>
        <w:t>)</w:t>
      </w:r>
    </w:p>
    <w:p w:rsidR="005E4F46" w:rsidRPr="00290584" w:rsidRDefault="005E4F46" w:rsidP="0075063B">
      <w:pPr>
        <w:jc w:val="both"/>
        <w:rPr>
          <w:b/>
          <w:bCs/>
          <w:color w:val="000000"/>
          <w:sz w:val="16"/>
          <w:szCs w:val="16"/>
          <w:u w:val="single"/>
        </w:rPr>
      </w:pPr>
    </w:p>
    <w:p w:rsidR="0075063B" w:rsidRPr="005E4F46" w:rsidRDefault="005E4F46" w:rsidP="0075063B">
      <w:pPr>
        <w:pStyle w:val="Heading5"/>
      </w:pPr>
      <w:r w:rsidRPr="005E4F46">
        <w:t>Zona e Dytë II</w:t>
      </w:r>
    </w:p>
    <w:p w:rsidR="0075063B" w:rsidRPr="00290584" w:rsidRDefault="0075063B" w:rsidP="0075063B">
      <w:pPr>
        <w:jc w:val="both"/>
        <w:rPr>
          <w:bCs/>
          <w:color w:val="000000"/>
          <w:sz w:val="16"/>
          <w:szCs w:val="16"/>
        </w:rPr>
      </w:pPr>
    </w:p>
    <w:p w:rsidR="0075063B" w:rsidRDefault="005E4F46" w:rsidP="0075063B">
      <w:pPr>
        <w:jc w:val="both"/>
        <w:rPr>
          <w:bCs/>
          <w:color w:val="000000"/>
        </w:rPr>
      </w:pPr>
      <w:r>
        <w:t xml:space="preserve"> Rruga - </w:t>
      </w:r>
      <w:r w:rsidRPr="009D3A01">
        <w:t>V</w:t>
      </w:r>
      <w:r>
        <w:t>ë</w:t>
      </w:r>
      <w:r w:rsidRPr="009D3A01">
        <w:t>llez</w:t>
      </w:r>
      <w:r>
        <w:t xml:space="preserve">ërit </w:t>
      </w:r>
      <w:proofErr w:type="spellStart"/>
      <w:r>
        <w:t>Frashë</w:t>
      </w:r>
      <w:r w:rsidRPr="009D3A01">
        <w:t>ri</w:t>
      </w:r>
      <w:proofErr w:type="spellEnd"/>
      <w:r w:rsidRPr="009D3A01">
        <w:t>,</w:t>
      </w:r>
      <w:r>
        <w:t xml:space="preserve"> </w:t>
      </w:r>
      <w:r w:rsidRPr="009D3A01">
        <w:t>Agim Rashiti,</w:t>
      </w:r>
      <w:r>
        <w:t xml:space="preserve"> </w:t>
      </w:r>
      <w:r w:rsidRPr="009D3A01">
        <w:t>Isa Kastrati,</w:t>
      </w:r>
      <w:r>
        <w:t xml:space="preserve"> </w:t>
      </w:r>
      <w:r w:rsidRPr="009D3A01">
        <w:t>Gjon Buzuku,</w:t>
      </w:r>
      <w:r>
        <w:t xml:space="preserve"> Lekë Dukagjini,    Limon </w:t>
      </w:r>
      <w:proofErr w:type="spellStart"/>
      <w:r>
        <w:t>Staneci,Vëllezërit</w:t>
      </w:r>
      <w:proofErr w:type="spellEnd"/>
      <w:r>
        <w:t xml:space="preserve"> Hyseni, Fadil </w:t>
      </w:r>
      <w:proofErr w:type="spellStart"/>
      <w:r>
        <w:t>Jakupi,Bajram</w:t>
      </w:r>
      <w:proofErr w:type="spellEnd"/>
      <w:r>
        <w:t xml:space="preserve"> </w:t>
      </w:r>
      <w:proofErr w:type="spellStart"/>
      <w:r>
        <w:t>Llovca</w:t>
      </w:r>
      <w:proofErr w:type="spellEnd"/>
      <w:r>
        <w:t xml:space="preserve"> </w:t>
      </w:r>
      <w:r w:rsidRPr="009D3A01">
        <w:t>etj.</w:t>
      </w:r>
    </w:p>
    <w:p w:rsidR="00671138" w:rsidRPr="00671138" w:rsidRDefault="00671138" w:rsidP="00671138"/>
    <w:p w:rsidR="0075063B" w:rsidRPr="0075063B" w:rsidRDefault="0075063B" w:rsidP="0075063B">
      <w:pPr>
        <w:pStyle w:val="Heading4"/>
      </w:pPr>
      <w:r w:rsidRPr="0075063B">
        <w:t xml:space="preserve">Zona </w:t>
      </w:r>
      <w:r w:rsidR="005E4F46">
        <w:t>III</w:t>
      </w:r>
    </w:p>
    <w:p w:rsidR="0075063B" w:rsidRPr="00290584" w:rsidRDefault="0075063B" w:rsidP="0075063B">
      <w:pPr>
        <w:jc w:val="both"/>
        <w:rPr>
          <w:bCs/>
          <w:sz w:val="16"/>
          <w:szCs w:val="16"/>
        </w:rPr>
      </w:pPr>
    </w:p>
    <w:p w:rsidR="005E4F46" w:rsidRDefault="005E4F46" w:rsidP="0075063B">
      <w:pPr>
        <w:jc w:val="both"/>
        <w:rPr>
          <w:rFonts w:eastAsia="MS Mincho"/>
          <w:sz w:val="22"/>
          <w:szCs w:val="22"/>
        </w:rPr>
      </w:pPr>
      <w:r w:rsidRPr="005E4F46">
        <w:rPr>
          <w:rFonts w:eastAsia="MS Mincho"/>
        </w:rPr>
        <w:t>Përfshin te gjitha objektet te cilat nuk kane emërtime te rrugëve të sakta  dhe objektet te cilat kufizohen me fshatrat për rreth</w:t>
      </w:r>
      <w:r w:rsidRPr="005E4F46">
        <w:rPr>
          <w:rFonts w:eastAsia="MS Mincho"/>
          <w:sz w:val="22"/>
          <w:szCs w:val="22"/>
        </w:rPr>
        <w:t xml:space="preserve">. </w:t>
      </w:r>
    </w:p>
    <w:p w:rsidR="0075063B" w:rsidRDefault="005E4F46" w:rsidP="0075063B">
      <w:pPr>
        <w:jc w:val="both"/>
        <w:rPr>
          <w:b/>
          <w:bCs/>
          <w:color w:val="000000"/>
          <w:u w:val="single"/>
        </w:rPr>
      </w:pPr>
      <w:r w:rsidRPr="005E4F46">
        <w:rPr>
          <w:rFonts w:eastAsia="MS Mincho"/>
          <w:sz w:val="20"/>
          <w:szCs w:val="20"/>
        </w:rPr>
        <w:t xml:space="preserve"> </w:t>
      </w:r>
    </w:p>
    <w:p w:rsidR="0075063B" w:rsidRDefault="005E4F46" w:rsidP="0075063B">
      <w:pPr>
        <w:pStyle w:val="Heading5"/>
      </w:pPr>
      <w:r w:rsidRPr="005E4F46">
        <w:t>Z</w:t>
      </w:r>
      <w:r w:rsidR="000A7BBB" w:rsidRPr="005E4F46">
        <w:t>ona</w:t>
      </w:r>
      <w:r w:rsidR="0075063B" w:rsidRPr="005E4F46">
        <w:t xml:space="preserve"> </w:t>
      </w:r>
      <w:r w:rsidRPr="005E4F46">
        <w:t>IV</w:t>
      </w:r>
    </w:p>
    <w:p w:rsidR="00290584" w:rsidRPr="00290584" w:rsidRDefault="00290584" w:rsidP="00290584"/>
    <w:p w:rsidR="0075063B" w:rsidRDefault="005E4F46" w:rsidP="0075063B">
      <w:pPr>
        <w:jc w:val="both"/>
      </w:pPr>
      <w:r w:rsidRPr="0094704C">
        <w:rPr>
          <w:b/>
        </w:rPr>
        <w:t xml:space="preserve"> </w:t>
      </w:r>
      <w:r w:rsidRPr="005E4F46">
        <w:rPr>
          <w:rFonts w:asciiTheme="minorHAnsi" w:hAnsiTheme="minorHAnsi"/>
          <w:b/>
        </w:rPr>
        <w:t>Përfshin këto fshatra</w:t>
      </w:r>
      <w:r>
        <w:t xml:space="preserve">; Malishevë, </w:t>
      </w:r>
      <w:proofErr w:type="spellStart"/>
      <w:r>
        <w:t>Uglar</w:t>
      </w:r>
      <w:proofErr w:type="spellEnd"/>
      <w:r>
        <w:t xml:space="preserve">, </w:t>
      </w:r>
      <w:proofErr w:type="spellStart"/>
      <w:r>
        <w:t>Pogragjë</w:t>
      </w:r>
      <w:proofErr w:type="spellEnd"/>
      <w:r>
        <w:t xml:space="preserve"> </w:t>
      </w:r>
      <w:proofErr w:type="spellStart"/>
      <w:r>
        <w:t>Kmetovc</w:t>
      </w:r>
      <w:proofErr w:type="spellEnd"/>
      <w:r>
        <w:t xml:space="preserve">, </w:t>
      </w:r>
      <w:proofErr w:type="spellStart"/>
      <w:r>
        <w:t>Dobërçan</w:t>
      </w:r>
      <w:proofErr w:type="spellEnd"/>
      <w:r>
        <w:t xml:space="preserve">, Petrit, </w:t>
      </w:r>
      <w:proofErr w:type="spellStart"/>
      <w:r>
        <w:t>Përlepnicë</w:t>
      </w:r>
      <w:proofErr w:type="spellEnd"/>
      <w:r>
        <w:t xml:space="preserve">, </w:t>
      </w:r>
      <w:proofErr w:type="spellStart"/>
      <w:r>
        <w:t>Bresalc</w:t>
      </w:r>
      <w:proofErr w:type="spellEnd"/>
      <w:r w:rsidRPr="0094704C">
        <w:t>,</w:t>
      </w:r>
      <w:r>
        <w:t xml:space="preserve"> </w:t>
      </w:r>
      <w:proofErr w:type="spellStart"/>
      <w:r>
        <w:t>Livoç</w:t>
      </w:r>
      <w:r w:rsidRPr="0094704C">
        <w:t>i</w:t>
      </w:r>
      <w:proofErr w:type="spellEnd"/>
      <w:r w:rsidRPr="0094704C">
        <w:t xml:space="preserve"> i Ulët,</w:t>
      </w:r>
      <w:r>
        <w:t xml:space="preserve"> </w:t>
      </w:r>
      <w:proofErr w:type="spellStart"/>
      <w:r>
        <w:t>Livoçi</w:t>
      </w:r>
      <w:proofErr w:type="spellEnd"/>
      <w:r>
        <w:t xml:space="preserve"> i Epë</w:t>
      </w:r>
      <w:r w:rsidRPr="0094704C">
        <w:t>rm,</w:t>
      </w:r>
      <w:r>
        <w:t xml:space="preserve"> </w:t>
      </w:r>
      <w:proofErr w:type="spellStart"/>
      <w:r>
        <w:t>Cë</w:t>
      </w:r>
      <w:r w:rsidRPr="0094704C">
        <w:t>rnicë</w:t>
      </w:r>
      <w:proofErr w:type="spellEnd"/>
      <w:r w:rsidRPr="0094704C">
        <w:t xml:space="preserve">, </w:t>
      </w:r>
      <w:proofErr w:type="spellStart"/>
      <w:r w:rsidRPr="0094704C">
        <w:t>Lladovë</w:t>
      </w:r>
      <w:proofErr w:type="spellEnd"/>
      <w:r w:rsidRPr="0094704C">
        <w:t>,</w:t>
      </w:r>
      <w:r>
        <w:t xml:space="preserve"> </w:t>
      </w:r>
      <w:r w:rsidRPr="0094704C">
        <w:t>Zhegër,</w:t>
      </w:r>
      <w:r>
        <w:t xml:space="preserve"> </w:t>
      </w:r>
      <w:proofErr w:type="spellStart"/>
      <w:r w:rsidRPr="0094704C">
        <w:t>LLashticë</w:t>
      </w:r>
      <w:proofErr w:type="spellEnd"/>
      <w:r w:rsidRPr="0094704C">
        <w:t xml:space="preserve">, </w:t>
      </w:r>
      <w:proofErr w:type="spellStart"/>
      <w:r w:rsidRPr="0094704C">
        <w:t>Haxhaj</w:t>
      </w:r>
      <w:proofErr w:type="spellEnd"/>
      <w:r w:rsidRPr="0094704C">
        <w:t>,</w:t>
      </w:r>
      <w:r>
        <w:t xml:space="preserve"> </w:t>
      </w:r>
      <w:proofErr w:type="spellStart"/>
      <w:r w:rsidRPr="0094704C">
        <w:t>Nasalë</w:t>
      </w:r>
      <w:proofErr w:type="spellEnd"/>
      <w:r w:rsidRPr="0094704C">
        <w:t>,</w:t>
      </w:r>
      <w:r>
        <w:t xml:space="preserve"> </w:t>
      </w:r>
      <w:proofErr w:type="spellStart"/>
      <w:r w:rsidRPr="0094704C">
        <w:t>Ponesh</w:t>
      </w:r>
      <w:proofErr w:type="spellEnd"/>
      <w:r w:rsidRPr="0094704C">
        <w:t>,</w:t>
      </w:r>
      <w:r>
        <w:t xml:space="preserve"> </w:t>
      </w:r>
      <w:proofErr w:type="spellStart"/>
      <w:r>
        <w:t>D</w:t>
      </w:r>
      <w:r w:rsidRPr="0094704C">
        <w:t>emiraj</w:t>
      </w:r>
      <w:proofErr w:type="spellEnd"/>
      <w:r w:rsidRPr="0094704C">
        <w:t>,</w:t>
      </w:r>
      <w:r>
        <w:t xml:space="preserve"> </w:t>
      </w:r>
      <w:proofErr w:type="spellStart"/>
      <w:r>
        <w:t>Ve</w:t>
      </w:r>
      <w:r w:rsidRPr="0094704C">
        <w:t>lekincë</w:t>
      </w:r>
      <w:proofErr w:type="spellEnd"/>
      <w:r w:rsidRPr="0094704C">
        <w:t>,</w:t>
      </w:r>
      <w:r>
        <w:t xml:space="preserve"> </w:t>
      </w:r>
      <w:proofErr w:type="spellStart"/>
      <w:r w:rsidRPr="0094704C">
        <w:t>Shillovë</w:t>
      </w:r>
      <w:proofErr w:type="spellEnd"/>
    </w:p>
    <w:p w:rsidR="0075063B" w:rsidRPr="0075063B" w:rsidRDefault="005E4F46" w:rsidP="0075063B">
      <w:pPr>
        <w:pStyle w:val="Heading4"/>
      </w:pPr>
      <w:r>
        <w:lastRenderedPageBreak/>
        <w:t>Zona V</w:t>
      </w:r>
    </w:p>
    <w:p w:rsidR="0075063B" w:rsidRDefault="0075063B" w:rsidP="0075063B">
      <w:pPr>
        <w:jc w:val="both"/>
        <w:rPr>
          <w:bCs/>
        </w:rPr>
      </w:pPr>
    </w:p>
    <w:p w:rsidR="005E4F46" w:rsidRDefault="005E4F46" w:rsidP="00C24D6E">
      <w:pPr>
        <w:ind w:left="360"/>
        <w:jc w:val="both"/>
      </w:pPr>
      <w:r w:rsidRPr="005E4F46">
        <w:rPr>
          <w:rFonts w:asciiTheme="minorHAnsi" w:hAnsiTheme="minorHAnsi"/>
          <w:b/>
        </w:rPr>
        <w:t>Përfshin këto fshatra</w:t>
      </w:r>
      <w:r>
        <w:t xml:space="preserve">; </w:t>
      </w:r>
      <w:proofErr w:type="spellStart"/>
      <w:r>
        <w:t>B</w:t>
      </w:r>
      <w:r w:rsidRPr="0094704C">
        <w:t>ilinicë</w:t>
      </w:r>
      <w:proofErr w:type="spellEnd"/>
      <w:r w:rsidRPr="0094704C">
        <w:t>,</w:t>
      </w:r>
      <w:r>
        <w:t xml:space="preserve"> </w:t>
      </w:r>
      <w:proofErr w:type="spellStart"/>
      <w:r>
        <w:t>B</w:t>
      </w:r>
      <w:r w:rsidRPr="0094704C">
        <w:t>ukovik</w:t>
      </w:r>
      <w:proofErr w:type="spellEnd"/>
      <w:r w:rsidRPr="0094704C">
        <w:t>,</w:t>
      </w:r>
      <w:r>
        <w:t xml:space="preserve"> </w:t>
      </w:r>
      <w:proofErr w:type="spellStart"/>
      <w:r>
        <w:t>C</w:t>
      </w:r>
      <w:r w:rsidRPr="0094704C">
        <w:t>apar</w:t>
      </w:r>
      <w:proofErr w:type="spellEnd"/>
      <w:r w:rsidRPr="0094704C">
        <w:t>,</w:t>
      </w:r>
      <w:r>
        <w:t xml:space="preserve"> </w:t>
      </w:r>
      <w:proofErr w:type="spellStart"/>
      <w:r>
        <w:t>B</w:t>
      </w:r>
      <w:r w:rsidRPr="0094704C">
        <w:t>urincë</w:t>
      </w:r>
      <w:proofErr w:type="spellEnd"/>
      <w:r w:rsidRPr="0094704C">
        <w:t>,</w:t>
      </w:r>
      <w:r>
        <w:t xml:space="preserve"> </w:t>
      </w:r>
      <w:r w:rsidRPr="0094704C">
        <w:t>Çelik,</w:t>
      </w:r>
      <w:r>
        <w:t xml:space="preserve"> </w:t>
      </w:r>
      <w:proofErr w:type="spellStart"/>
      <w:r w:rsidRPr="0094704C">
        <w:t>Dunav</w:t>
      </w:r>
      <w:proofErr w:type="spellEnd"/>
      <w:r w:rsidRPr="0094704C">
        <w:t>,</w:t>
      </w:r>
      <w:r>
        <w:t xml:space="preserve"> </w:t>
      </w:r>
      <w:proofErr w:type="spellStart"/>
      <w:r w:rsidRPr="0094704C">
        <w:t>Gadish</w:t>
      </w:r>
      <w:proofErr w:type="spellEnd"/>
      <w:r w:rsidRPr="0094704C">
        <w:t xml:space="preserve">, </w:t>
      </w:r>
      <w:proofErr w:type="spellStart"/>
      <w:r w:rsidRPr="0094704C">
        <w:t>Goden</w:t>
      </w:r>
      <w:proofErr w:type="spellEnd"/>
      <w:r w:rsidRPr="0094704C">
        <w:t xml:space="preserve"> i </w:t>
      </w:r>
      <w:proofErr w:type="spellStart"/>
      <w:r w:rsidRPr="0094704C">
        <w:t>vogel</w:t>
      </w:r>
      <w:proofErr w:type="spellEnd"/>
      <w:r w:rsidRPr="0094704C">
        <w:t>,</w:t>
      </w:r>
      <w:r>
        <w:t xml:space="preserve"> </w:t>
      </w:r>
      <w:proofErr w:type="spellStart"/>
      <w:r w:rsidRPr="0094704C">
        <w:t>Inatovc</w:t>
      </w:r>
      <w:proofErr w:type="spellEnd"/>
      <w:r w:rsidRPr="0094704C">
        <w:t>,</w:t>
      </w:r>
      <w:r>
        <w:t xml:space="preserve"> </w:t>
      </w:r>
      <w:proofErr w:type="spellStart"/>
      <w:r>
        <w:t>Kishna</w:t>
      </w:r>
      <w:r w:rsidRPr="0094704C">
        <w:t>pole</w:t>
      </w:r>
      <w:proofErr w:type="spellEnd"/>
      <w:r w:rsidRPr="0094704C">
        <w:t>,</w:t>
      </w:r>
      <w:r>
        <w:t xml:space="preserve"> </w:t>
      </w:r>
      <w:proofErr w:type="spellStart"/>
      <w:r w:rsidRPr="0094704C">
        <w:t>Kravaricë</w:t>
      </w:r>
      <w:proofErr w:type="spellEnd"/>
      <w:r w:rsidRPr="0094704C">
        <w:t>,</w:t>
      </w:r>
      <w:r>
        <w:t xml:space="preserve"> </w:t>
      </w:r>
      <w:proofErr w:type="spellStart"/>
      <w:r w:rsidRPr="0094704C">
        <w:t>Lipovicë</w:t>
      </w:r>
      <w:proofErr w:type="spellEnd"/>
      <w:r w:rsidRPr="0094704C">
        <w:t>,</w:t>
      </w:r>
      <w:r>
        <w:t xml:space="preserve"> </w:t>
      </w:r>
      <w:proofErr w:type="spellStart"/>
      <w:r>
        <w:t>LLovcë</w:t>
      </w:r>
      <w:proofErr w:type="spellEnd"/>
      <w:r>
        <w:t>, Malishevë e E</w:t>
      </w:r>
      <w:r w:rsidRPr="0094704C">
        <w:t>përme,</w:t>
      </w:r>
      <w:r>
        <w:t xml:space="preserve"> </w:t>
      </w:r>
      <w:proofErr w:type="spellStart"/>
      <w:r w:rsidRPr="0094704C">
        <w:t>Muqibabë</w:t>
      </w:r>
      <w:proofErr w:type="spellEnd"/>
      <w:r w:rsidRPr="0094704C">
        <w:t>,</w:t>
      </w:r>
      <w:r>
        <w:t xml:space="preserve"> </w:t>
      </w:r>
      <w:proofErr w:type="spellStart"/>
      <w:r w:rsidRPr="0094704C">
        <w:t>Pidiq</w:t>
      </w:r>
      <w:proofErr w:type="spellEnd"/>
      <w:r w:rsidRPr="0094704C">
        <w:t>,</w:t>
      </w:r>
      <w:r>
        <w:t xml:space="preserve"> </w:t>
      </w:r>
      <w:proofErr w:type="spellStart"/>
      <w:r w:rsidRPr="0094704C">
        <w:t>Shurdhan</w:t>
      </w:r>
      <w:proofErr w:type="spellEnd"/>
      <w:r w:rsidRPr="0094704C">
        <w:t xml:space="preserve">, </w:t>
      </w:r>
      <w:proofErr w:type="spellStart"/>
      <w:r w:rsidRPr="0094704C">
        <w:t>Sllakovc</w:t>
      </w:r>
      <w:proofErr w:type="spellEnd"/>
      <w:r w:rsidRPr="0094704C">
        <w:t xml:space="preserve"> i </w:t>
      </w:r>
      <w:r>
        <w:t>P</w:t>
      </w:r>
      <w:r w:rsidRPr="0094704C">
        <w:t>oshtëm,</w:t>
      </w:r>
      <w:r>
        <w:t xml:space="preserve"> </w:t>
      </w:r>
      <w:proofErr w:type="spellStart"/>
      <w:r w:rsidRPr="0094704C">
        <w:t>Sllakovc</w:t>
      </w:r>
      <w:proofErr w:type="spellEnd"/>
      <w:r w:rsidRPr="0094704C">
        <w:t xml:space="preserve"> i </w:t>
      </w:r>
      <w:r>
        <w:t>E</w:t>
      </w:r>
      <w:r w:rsidRPr="0094704C">
        <w:t>p</w:t>
      </w:r>
      <w:r>
        <w:t>ë</w:t>
      </w:r>
      <w:r w:rsidRPr="0094704C">
        <w:t>rm ,</w:t>
      </w:r>
      <w:proofErr w:type="spellStart"/>
      <w:r w:rsidRPr="0094704C">
        <w:t>Stanqiq</w:t>
      </w:r>
      <w:proofErr w:type="spellEnd"/>
      <w:r w:rsidRPr="0094704C">
        <w:t>,</w:t>
      </w:r>
      <w:r>
        <w:t xml:space="preserve"> </w:t>
      </w:r>
      <w:proofErr w:type="spellStart"/>
      <w:r w:rsidRPr="0094704C">
        <w:t>Stublinë</w:t>
      </w:r>
      <w:proofErr w:type="spellEnd"/>
      <w:r w:rsidRPr="0094704C">
        <w:t>,</w:t>
      </w:r>
      <w:r>
        <w:t xml:space="preserve"> </w:t>
      </w:r>
      <w:proofErr w:type="spellStart"/>
      <w:r>
        <w:t>Verbicë</w:t>
      </w:r>
      <w:proofErr w:type="spellEnd"/>
      <w:r>
        <w:t xml:space="preserve"> e </w:t>
      </w:r>
      <w:proofErr w:type="spellStart"/>
      <w:r>
        <w:t>Kmeto</w:t>
      </w:r>
      <w:r w:rsidRPr="0094704C">
        <w:t>cit</w:t>
      </w:r>
      <w:proofErr w:type="spellEnd"/>
      <w:r w:rsidRPr="0094704C">
        <w:t>,</w:t>
      </w:r>
      <w:r>
        <w:t xml:space="preserve"> </w:t>
      </w:r>
      <w:proofErr w:type="spellStart"/>
      <w:r w:rsidRPr="0094704C">
        <w:t>Verbicë</w:t>
      </w:r>
      <w:proofErr w:type="spellEnd"/>
      <w:r w:rsidRPr="0094704C">
        <w:t xml:space="preserve"> e </w:t>
      </w:r>
      <w:proofErr w:type="spellStart"/>
      <w:r w:rsidRPr="0094704C">
        <w:t>Zhegocit</w:t>
      </w:r>
      <w:proofErr w:type="spellEnd"/>
      <w:r w:rsidRPr="0094704C">
        <w:t>,</w:t>
      </w:r>
      <w:r>
        <w:t xml:space="preserve"> </w:t>
      </w:r>
      <w:proofErr w:type="spellStart"/>
      <w:r>
        <w:t>Zhego</w:t>
      </w:r>
      <w:r w:rsidRPr="0094704C">
        <w:t>c</w:t>
      </w:r>
      <w:proofErr w:type="spellEnd"/>
      <w:r w:rsidRPr="0094704C">
        <w:t>,</w:t>
      </w:r>
      <w:r>
        <w:t xml:space="preserve"> </w:t>
      </w:r>
      <w:proofErr w:type="spellStart"/>
      <w:r w:rsidRPr="0094704C">
        <w:t>Vrapqiq</w:t>
      </w:r>
      <w:proofErr w:type="spellEnd"/>
      <w:r w:rsidRPr="0094704C">
        <w:t>,</w:t>
      </w:r>
      <w:r>
        <w:t xml:space="preserve"> </w:t>
      </w:r>
      <w:proofErr w:type="spellStart"/>
      <w:r w:rsidRPr="0094704C">
        <w:t>Kureq</w:t>
      </w:r>
      <w:proofErr w:type="spellEnd"/>
      <w:r w:rsidRPr="0094704C">
        <w:t>,</w:t>
      </w:r>
      <w:r>
        <w:t xml:space="preserve"> </w:t>
      </w:r>
      <w:proofErr w:type="spellStart"/>
      <w:r w:rsidRPr="0094704C">
        <w:t>Terziaj</w:t>
      </w:r>
      <w:proofErr w:type="spellEnd"/>
      <w:r w:rsidRPr="0094704C">
        <w:t>,</w:t>
      </w:r>
      <w:r w:rsidRPr="00212282">
        <w:t xml:space="preserve"> </w:t>
      </w:r>
      <w:r w:rsidRPr="0094704C">
        <w:t>Selishtë,</w:t>
      </w:r>
      <w:r>
        <w:t xml:space="preserve"> </w:t>
      </w:r>
      <w:proofErr w:type="spellStart"/>
      <w:r w:rsidRPr="0094704C">
        <w:t>Sllubicë</w:t>
      </w:r>
      <w:proofErr w:type="spellEnd"/>
    </w:p>
    <w:p w:rsidR="0075063B" w:rsidRDefault="0075063B" w:rsidP="0075063B">
      <w:pPr>
        <w:jc w:val="both"/>
        <w:rPr>
          <w:b/>
          <w:bCs/>
          <w:color w:val="000000"/>
          <w:u w:val="single"/>
        </w:rPr>
      </w:pPr>
    </w:p>
    <w:p w:rsidR="00F6632B" w:rsidRPr="00F6632B" w:rsidRDefault="00BC01C1" w:rsidP="00F6632B">
      <w:pPr>
        <w:jc w:val="center"/>
        <w:rPr>
          <w:b/>
          <w:bCs/>
        </w:rPr>
      </w:pPr>
      <w:r>
        <w:rPr>
          <w:b/>
          <w:bCs/>
        </w:rPr>
        <w:t>Neni 3</w:t>
      </w:r>
    </w:p>
    <w:p w:rsidR="0075063B" w:rsidRDefault="0075063B" w:rsidP="0075063B">
      <w:pPr>
        <w:jc w:val="center"/>
        <w:rPr>
          <w:b/>
          <w:bCs/>
        </w:rPr>
      </w:pPr>
      <w:r>
        <w:rPr>
          <w:b/>
          <w:bCs/>
        </w:rPr>
        <w:t>Normat Tatimore</w:t>
      </w:r>
    </w:p>
    <w:p w:rsidR="0075063B" w:rsidRDefault="0075063B" w:rsidP="0075063B">
      <w:pPr>
        <w:jc w:val="center"/>
        <w:rPr>
          <w:b/>
          <w:bCs/>
        </w:rPr>
      </w:pPr>
    </w:p>
    <w:p w:rsidR="000A7BBB" w:rsidRDefault="00B32F7D" w:rsidP="0075063B">
      <w:pPr>
        <w:jc w:val="both"/>
        <w:rPr>
          <w:bCs/>
          <w:iCs/>
          <w:noProof/>
          <w:lang w:val="hr-HR" w:eastAsia="en-GB"/>
        </w:rPr>
      </w:pPr>
      <w:r>
        <w:t>N</w:t>
      </w:r>
      <w:r w:rsidR="00F6632B" w:rsidRPr="00F6632B">
        <w:t>ë</w:t>
      </w:r>
      <w:r>
        <w:t xml:space="preserve"> zbatim të</w:t>
      </w:r>
      <w:r w:rsidR="00F6632B" w:rsidRPr="00F6632B">
        <w:t xml:space="preserve"> </w:t>
      </w:r>
      <w:r>
        <w:t>Ligjit</w:t>
      </w:r>
      <w:r w:rsidR="000A7BBB" w:rsidRPr="00F6632B">
        <w:t xml:space="preserve"> Nr.</w:t>
      </w:r>
      <w:r>
        <w:t xml:space="preserve"> </w:t>
      </w:r>
      <w:r w:rsidR="000A7BBB" w:rsidRPr="00F6632B">
        <w:t>06/L-005, për Tatimin në Pronën e Paluajtshme</w:t>
      </w:r>
      <w:r w:rsidR="000A7BBB">
        <w:t xml:space="preserve">, </w:t>
      </w:r>
      <w:r>
        <w:t>neni</w:t>
      </w:r>
      <w:r w:rsidR="000A7BBB">
        <w:t xml:space="preserve"> </w:t>
      </w:r>
      <w:r w:rsidR="00F6632B" w:rsidRPr="00F6632B">
        <w:t>9</w:t>
      </w:r>
      <w:r w:rsidR="0075063B">
        <w:t>, paragrafi 1</w:t>
      </w:r>
      <w:r w:rsidR="000A7BBB">
        <w:t>, nën paragrafët 1.1 deri 1.9</w:t>
      </w:r>
      <w:r w:rsidR="00A7535C">
        <w:t>,</w:t>
      </w:r>
      <w:r w:rsidR="00A7535C" w:rsidRPr="003952E2">
        <w:rPr>
          <w:bCs/>
          <w:iCs/>
          <w:noProof/>
          <w:lang w:val="hr-HR" w:eastAsia="en-GB"/>
        </w:rPr>
        <w:t xml:space="preserve"> </w:t>
      </w:r>
      <w:r w:rsidR="0075063B" w:rsidRPr="003952E2">
        <w:rPr>
          <w:bCs/>
          <w:iCs/>
          <w:noProof/>
          <w:lang w:val="hr-HR" w:eastAsia="en-GB"/>
        </w:rPr>
        <w:t xml:space="preserve">Kuvendi Komunal i </w:t>
      </w:r>
      <w:r w:rsidR="000A7BBB">
        <w:rPr>
          <w:bCs/>
          <w:iCs/>
          <w:noProof/>
          <w:lang w:val="hr-HR" w:eastAsia="en-GB"/>
        </w:rPr>
        <w:t>Komun</w:t>
      </w:r>
      <w:r w:rsidR="00371EB2">
        <w:rPr>
          <w:bCs/>
          <w:iCs/>
          <w:noProof/>
          <w:lang w:val="hr-HR" w:eastAsia="en-GB"/>
        </w:rPr>
        <w:t>ë</w:t>
      </w:r>
      <w:r w:rsidR="000A7BBB">
        <w:rPr>
          <w:bCs/>
          <w:iCs/>
          <w:noProof/>
          <w:lang w:val="hr-HR" w:eastAsia="en-GB"/>
        </w:rPr>
        <w:t>s</w:t>
      </w:r>
      <w:r w:rsidR="0075063B" w:rsidRPr="003952E2">
        <w:rPr>
          <w:bCs/>
          <w:iCs/>
          <w:noProof/>
          <w:lang w:val="hr-HR" w:eastAsia="en-GB"/>
        </w:rPr>
        <w:t xml:space="preserve"> </w:t>
      </w:r>
      <w:r w:rsidR="000A7BBB">
        <w:rPr>
          <w:bCs/>
          <w:iCs/>
          <w:noProof/>
          <w:lang w:val="hr-HR" w:eastAsia="en-GB"/>
        </w:rPr>
        <w:t>s</w:t>
      </w:r>
      <w:r w:rsidR="00371EB2">
        <w:rPr>
          <w:bCs/>
          <w:iCs/>
          <w:noProof/>
          <w:lang w:val="hr-HR" w:eastAsia="en-GB"/>
        </w:rPr>
        <w:t>ë</w:t>
      </w:r>
      <w:r w:rsidR="000A7BBB">
        <w:rPr>
          <w:bCs/>
          <w:iCs/>
          <w:noProof/>
          <w:lang w:val="hr-HR" w:eastAsia="en-GB"/>
        </w:rPr>
        <w:t xml:space="preserve"> </w:t>
      </w:r>
      <w:r w:rsidR="00C24D6E">
        <w:rPr>
          <w:bCs/>
          <w:iCs/>
          <w:noProof/>
          <w:lang w:val="hr-HR" w:eastAsia="en-GB"/>
        </w:rPr>
        <w:t>Gjilanit</w:t>
      </w:r>
      <w:r w:rsidR="000A7BBB">
        <w:rPr>
          <w:bCs/>
          <w:iCs/>
          <w:noProof/>
          <w:lang w:val="hr-HR" w:eastAsia="en-GB"/>
        </w:rPr>
        <w:t xml:space="preserve"> </w:t>
      </w:r>
      <w:r w:rsidR="0075063B" w:rsidRPr="003952E2">
        <w:rPr>
          <w:bCs/>
          <w:iCs/>
          <w:noProof/>
          <w:lang w:val="hr-HR" w:eastAsia="en-GB"/>
        </w:rPr>
        <w:t xml:space="preserve">cakton normat tatimore </w:t>
      </w:r>
      <w:r w:rsidR="000A7BBB">
        <w:rPr>
          <w:bCs/>
          <w:iCs/>
          <w:noProof/>
          <w:lang w:val="hr-HR" w:eastAsia="en-GB"/>
        </w:rPr>
        <w:t>p</w:t>
      </w:r>
      <w:r w:rsidR="00371EB2">
        <w:rPr>
          <w:bCs/>
          <w:iCs/>
          <w:noProof/>
          <w:lang w:val="hr-HR" w:eastAsia="en-GB"/>
        </w:rPr>
        <w:t>ë</w:t>
      </w:r>
      <w:r w:rsidR="000A7BBB">
        <w:rPr>
          <w:bCs/>
          <w:iCs/>
          <w:noProof/>
          <w:lang w:val="hr-HR" w:eastAsia="en-GB"/>
        </w:rPr>
        <w:t xml:space="preserve">r vitin 2019 </w:t>
      </w:r>
      <w:r w:rsidR="0075063B" w:rsidRPr="003952E2">
        <w:rPr>
          <w:bCs/>
          <w:iCs/>
          <w:noProof/>
          <w:lang w:val="hr-HR" w:eastAsia="en-GB"/>
        </w:rPr>
        <w:t xml:space="preserve">për të gjitha kategoritë e pronave, me përjashtim të kategorisë pronë publike, </w:t>
      </w:r>
      <w:r w:rsidR="000A7BBB">
        <w:rPr>
          <w:bCs/>
          <w:iCs/>
          <w:noProof/>
          <w:lang w:val="hr-HR" w:eastAsia="en-GB"/>
        </w:rPr>
        <w:t>si vijon:</w:t>
      </w:r>
    </w:p>
    <w:p w:rsidR="00F6632B" w:rsidRPr="00F6632B" w:rsidRDefault="00F6632B" w:rsidP="00F6632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1"/>
        <w:gridCol w:w="3699"/>
      </w:tblGrid>
      <w:tr w:rsidR="00A7535C" w:rsidRPr="00F6632B" w:rsidTr="00371EB2">
        <w:trPr>
          <w:trHeight w:val="197"/>
        </w:trPr>
        <w:tc>
          <w:tcPr>
            <w:tcW w:w="4641" w:type="dxa"/>
          </w:tcPr>
          <w:p w:rsidR="00A7535C" w:rsidRPr="00F6632B" w:rsidRDefault="00A7535C" w:rsidP="009D2A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Kategoria e Pronës</w:t>
            </w:r>
          </w:p>
        </w:tc>
        <w:tc>
          <w:tcPr>
            <w:tcW w:w="3699" w:type="dxa"/>
          </w:tcPr>
          <w:p w:rsidR="00A7535C" w:rsidRPr="00F6632B" w:rsidRDefault="00A7535C" w:rsidP="009D2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Norma tatimore</w:t>
            </w:r>
            <w:r w:rsidR="00C24D6E">
              <w:rPr>
                <w:b/>
                <w:bCs/>
              </w:rPr>
              <w:t xml:space="preserve"> %</w:t>
            </w:r>
          </w:p>
        </w:tc>
      </w:tr>
      <w:tr w:rsidR="00A7535C" w:rsidRPr="00F6632B" w:rsidTr="00B32F7D">
        <w:trPr>
          <w:trHeight w:val="368"/>
        </w:trPr>
        <w:tc>
          <w:tcPr>
            <w:tcW w:w="4641" w:type="dxa"/>
            <w:vAlign w:val="center"/>
          </w:tcPr>
          <w:p w:rsidR="00A7535C" w:rsidRPr="00F6632B" w:rsidRDefault="00A7535C" w:rsidP="00B32F7D">
            <w:r>
              <w:rPr>
                <w:bCs/>
                <w:iCs/>
                <w:noProof/>
                <w:lang w:val="hr-HR" w:eastAsia="en-GB"/>
              </w:rPr>
              <w:t>P</w:t>
            </w:r>
            <w:r w:rsidR="000A7BBB">
              <w:rPr>
                <w:bCs/>
                <w:iCs/>
                <w:noProof/>
                <w:lang w:val="hr-HR" w:eastAsia="en-GB"/>
              </w:rPr>
              <w:t>ë</w:t>
            </w:r>
            <w:r>
              <w:rPr>
                <w:bCs/>
                <w:iCs/>
                <w:noProof/>
                <w:lang w:val="hr-HR" w:eastAsia="en-GB"/>
              </w:rPr>
              <w:t xml:space="preserve">r </w:t>
            </w:r>
            <w:r w:rsidRPr="003952E2">
              <w:rPr>
                <w:bCs/>
                <w:iCs/>
                <w:noProof/>
                <w:lang w:val="hr-HR" w:eastAsia="en-GB"/>
              </w:rPr>
              <w:t>njësitë bujqësore të parcelave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41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bujqësore të objekteve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0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pyjore të parcelave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9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rezidenciale të parcelave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0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rezidenciale të objekteve</w:t>
            </w:r>
          </w:p>
        </w:tc>
        <w:tc>
          <w:tcPr>
            <w:tcW w:w="3699" w:type="dxa"/>
          </w:tcPr>
          <w:p w:rsidR="00A7535C" w:rsidRPr="00F6632B" w:rsidRDefault="00C24D6E" w:rsidP="00C24D6E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41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komerciale të parcelave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0.17</w:t>
            </w:r>
          </w:p>
        </w:tc>
      </w:tr>
      <w:tr w:rsidR="00A7535C" w:rsidRPr="00F6632B" w:rsidTr="00B32F7D">
        <w:trPr>
          <w:trHeight w:val="350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komerciale të objekteve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0.17</w:t>
            </w:r>
          </w:p>
        </w:tc>
      </w:tr>
      <w:tr w:rsidR="00A7535C" w:rsidRPr="00F6632B" w:rsidTr="00B32F7D">
        <w:trPr>
          <w:trHeight w:val="359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industriale të parcelave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0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industriale të objekteve</w:t>
            </w:r>
          </w:p>
        </w:tc>
        <w:tc>
          <w:tcPr>
            <w:tcW w:w="3699" w:type="dxa"/>
          </w:tcPr>
          <w:p w:rsidR="00A7535C" w:rsidRPr="00F6632B" w:rsidRDefault="00C24D6E" w:rsidP="009D2AB0">
            <w:pPr>
              <w:jc w:val="center"/>
            </w:pPr>
            <w:r>
              <w:t>0.15</w:t>
            </w:r>
          </w:p>
        </w:tc>
      </w:tr>
    </w:tbl>
    <w:p w:rsidR="00F6632B" w:rsidRDefault="00F6632B" w:rsidP="00F6632B">
      <w:pPr>
        <w:rPr>
          <w:b/>
          <w:bCs/>
        </w:rPr>
      </w:pPr>
      <w:r w:rsidRPr="00F6632B">
        <w:rPr>
          <w:b/>
          <w:bCs/>
        </w:rPr>
        <w:t xml:space="preserve"> </w:t>
      </w:r>
    </w:p>
    <w:p w:rsidR="003A2EC0" w:rsidRPr="00F6632B" w:rsidRDefault="003A2EC0" w:rsidP="00F6632B">
      <w:pPr>
        <w:rPr>
          <w:b/>
          <w:bCs/>
        </w:rPr>
      </w:pPr>
    </w:p>
    <w:p w:rsidR="00F6632B" w:rsidRDefault="00B32F7D" w:rsidP="00F6632B">
      <w:pPr>
        <w:jc w:val="center"/>
        <w:rPr>
          <w:b/>
          <w:bCs/>
        </w:rPr>
      </w:pPr>
      <w:r>
        <w:rPr>
          <w:b/>
          <w:bCs/>
        </w:rPr>
        <w:t>Neni 4</w:t>
      </w:r>
    </w:p>
    <w:p w:rsidR="00847775" w:rsidRPr="00F6632B" w:rsidRDefault="00847775" w:rsidP="00F6632B">
      <w:pPr>
        <w:jc w:val="center"/>
        <w:rPr>
          <w:b/>
          <w:bCs/>
        </w:rPr>
      </w:pPr>
      <w:r>
        <w:rPr>
          <w:b/>
          <w:bCs/>
        </w:rPr>
        <w:t>Shfuqizimi</w:t>
      </w:r>
    </w:p>
    <w:p w:rsidR="00F6632B" w:rsidRPr="00F6632B" w:rsidRDefault="00F6632B" w:rsidP="00F6632B">
      <w:pPr>
        <w:rPr>
          <w:b/>
          <w:bCs/>
        </w:rPr>
      </w:pPr>
    </w:p>
    <w:p w:rsidR="00F6632B" w:rsidRDefault="006B60D3" w:rsidP="00847775">
      <w:pPr>
        <w:pStyle w:val="BodyTextIndent"/>
        <w:ind w:left="0"/>
      </w:pPr>
      <w:r>
        <w:t xml:space="preserve"> </w:t>
      </w:r>
      <w:r w:rsidR="00847775">
        <w:t xml:space="preserve">Kjo Rregullore shfuqizon Rregulloren Nr. </w:t>
      </w:r>
      <w:r>
        <w:t>016-64724</w:t>
      </w:r>
      <w:r w:rsidR="00847775">
        <w:t>, dat</w:t>
      </w:r>
      <w:r w:rsidR="000A7BBB">
        <w:t>ë</w:t>
      </w:r>
      <w:r w:rsidR="00847775">
        <w:t xml:space="preserve"> </w:t>
      </w:r>
      <w:r>
        <w:t>29.06.201</w:t>
      </w:r>
      <w:r w:rsidR="007B3E84">
        <w:t>7</w:t>
      </w:r>
      <w:r w:rsidR="00847775">
        <w:t xml:space="preserve"> </w:t>
      </w:r>
      <w:r>
        <w:t>.</w:t>
      </w:r>
    </w:p>
    <w:p w:rsidR="00847775" w:rsidRDefault="00847775" w:rsidP="00847775">
      <w:pPr>
        <w:pStyle w:val="BodyTextIndent"/>
        <w:ind w:left="0"/>
      </w:pPr>
    </w:p>
    <w:p w:rsidR="00847775" w:rsidRDefault="00B32F7D" w:rsidP="00847775">
      <w:pPr>
        <w:jc w:val="center"/>
        <w:rPr>
          <w:b/>
          <w:bCs/>
        </w:rPr>
      </w:pPr>
      <w:r>
        <w:rPr>
          <w:b/>
          <w:bCs/>
        </w:rPr>
        <w:t>Neni 5</w:t>
      </w:r>
    </w:p>
    <w:p w:rsidR="00847775" w:rsidRPr="00F6632B" w:rsidRDefault="00847775" w:rsidP="00847775">
      <w:pPr>
        <w:jc w:val="center"/>
        <w:rPr>
          <w:b/>
          <w:bCs/>
        </w:rPr>
      </w:pPr>
      <w:r>
        <w:rPr>
          <w:b/>
          <w:bCs/>
        </w:rPr>
        <w:t>Hyrja n</w:t>
      </w:r>
      <w:r w:rsidR="000A7BBB">
        <w:rPr>
          <w:b/>
          <w:bCs/>
        </w:rPr>
        <w:t>ë</w:t>
      </w:r>
      <w:r>
        <w:rPr>
          <w:b/>
          <w:bCs/>
        </w:rPr>
        <w:t xml:space="preserve"> fuqi</w:t>
      </w:r>
    </w:p>
    <w:p w:rsidR="00847775" w:rsidRPr="00F6632B" w:rsidRDefault="00847775" w:rsidP="00847775">
      <w:pPr>
        <w:pStyle w:val="BodyTextIndent"/>
        <w:ind w:left="0"/>
      </w:pPr>
    </w:p>
    <w:p w:rsidR="00F6632B" w:rsidRPr="00F6632B" w:rsidRDefault="00F6632B" w:rsidP="00F6632B">
      <w:pPr>
        <w:pStyle w:val="BodyTextIndent"/>
        <w:ind w:left="0"/>
      </w:pPr>
      <w:r w:rsidRPr="00F6632B">
        <w:t>Kjo</w:t>
      </w:r>
      <w:r w:rsidR="00290584">
        <w:t xml:space="preserve"> rregullore hyn në fuqi shtatë (7) ditë pas </w:t>
      </w:r>
      <w:r w:rsidR="00847775">
        <w:t xml:space="preserve"> </w:t>
      </w:r>
      <w:r w:rsidR="00290584">
        <w:t xml:space="preserve">publikimit në faqen zyrtare të Komunës, përderisa </w:t>
      </w:r>
      <w:r w:rsidR="00847775">
        <w:t xml:space="preserve"> do </w:t>
      </w:r>
      <w:r w:rsidR="00B32F7D">
        <w:t xml:space="preserve">të </w:t>
      </w:r>
      <w:r w:rsidR="00847775">
        <w:t xml:space="preserve">filloj së zbatuari nga </w:t>
      </w:r>
      <w:r w:rsidR="00290584">
        <w:t>1 J</w:t>
      </w:r>
      <w:r w:rsidRPr="00F6632B">
        <w:t>anari 2019.</w:t>
      </w:r>
    </w:p>
    <w:p w:rsidR="00F6632B" w:rsidRPr="00F6632B" w:rsidRDefault="00F6632B" w:rsidP="00F6632B">
      <w:pPr>
        <w:pStyle w:val="BodyTextIndent"/>
        <w:ind w:left="0" w:firstLine="720"/>
      </w:pPr>
    </w:p>
    <w:p w:rsidR="006B60D3" w:rsidRDefault="006B60D3" w:rsidP="00847775">
      <w:pPr>
        <w:ind w:left="720"/>
        <w:rPr>
          <w:i/>
        </w:rPr>
      </w:pPr>
    </w:p>
    <w:p w:rsidR="00290584" w:rsidRDefault="00290584" w:rsidP="00290584">
      <w:r>
        <w:t>01.Nr.</w:t>
      </w:r>
      <w:r>
        <w:rPr>
          <w:u w:val="single"/>
        </w:rPr>
        <w:t>016-126665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Kryesuesja e KK-Gjilan</w:t>
      </w:r>
    </w:p>
    <w:p w:rsidR="00290584" w:rsidRDefault="00290584" w:rsidP="00290584">
      <w:r>
        <w:t>Gjilan, më 26.11.2018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290584" w:rsidRPr="00290584" w:rsidRDefault="00290584" w:rsidP="002905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/Shpresa Kurteshi-</w:t>
      </w:r>
      <w:proofErr w:type="spellStart"/>
      <w:r>
        <w:t>Emini</w:t>
      </w:r>
      <w:proofErr w:type="spellEnd"/>
      <w:r>
        <w:t>/</w:t>
      </w:r>
    </w:p>
    <w:sectPr w:rsidR="00290584" w:rsidRPr="002905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AAB"/>
    <w:multiLevelType w:val="hybridMultilevel"/>
    <w:tmpl w:val="69E8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3E9C"/>
    <w:multiLevelType w:val="multilevel"/>
    <w:tmpl w:val="6F36C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760EAA"/>
    <w:multiLevelType w:val="multilevel"/>
    <w:tmpl w:val="6F36C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FB723F"/>
    <w:multiLevelType w:val="hybridMultilevel"/>
    <w:tmpl w:val="EEFCCC5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A1A5F"/>
    <w:multiLevelType w:val="hybridMultilevel"/>
    <w:tmpl w:val="D0A84908"/>
    <w:lvl w:ilvl="0" w:tplc="56EADCA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E59A3"/>
    <w:multiLevelType w:val="multilevel"/>
    <w:tmpl w:val="07B60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606358"/>
    <w:multiLevelType w:val="multilevel"/>
    <w:tmpl w:val="1D2EF08C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44368E"/>
    <w:multiLevelType w:val="hybridMultilevel"/>
    <w:tmpl w:val="29C25254"/>
    <w:lvl w:ilvl="0" w:tplc="56EADCA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5542B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506E33"/>
    <w:multiLevelType w:val="hybridMultilevel"/>
    <w:tmpl w:val="DCE4A9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A35CE"/>
    <w:multiLevelType w:val="hybridMultilevel"/>
    <w:tmpl w:val="959AA720"/>
    <w:lvl w:ilvl="0" w:tplc="F63853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D97A43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5A12C88"/>
    <w:multiLevelType w:val="multilevel"/>
    <w:tmpl w:val="94285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9C91799"/>
    <w:multiLevelType w:val="hybridMultilevel"/>
    <w:tmpl w:val="CA9426B6"/>
    <w:lvl w:ilvl="0" w:tplc="56EADCA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130B4"/>
    <w:multiLevelType w:val="hybridMultilevel"/>
    <w:tmpl w:val="980EB76A"/>
    <w:lvl w:ilvl="0" w:tplc="367E0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A01E2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F3C7762"/>
    <w:multiLevelType w:val="hybridMultilevel"/>
    <w:tmpl w:val="7748788E"/>
    <w:lvl w:ilvl="0" w:tplc="76E22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15"/>
  </w:num>
  <w:num w:numId="9">
    <w:abstractNumId w:val="8"/>
  </w:num>
  <w:num w:numId="10">
    <w:abstractNumId w:val="12"/>
  </w:num>
  <w:num w:numId="11">
    <w:abstractNumId w:val="7"/>
  </w:num>
  <w:num w:numId="12">
    <w:abstractNumId w:val="1"/>
  </w:num>
  <w:num w:numId="13">
    <w:abstractNumId w:val="16"/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2B"/>
    <w:rsid w:val="000510AC"/>
    <w:rsid w:val="000A7BBB"/>
    <w:rsid w:val="000F63D0"/>
    <w:rsid w:val="00124369"/>
    <w:rsid w:val="00124A77"/>
    <w:rsid w:val="0017508E"/>
    <w:rsid w:val="001A4AE1"/>
    <w:rsid w:val="002141DE"/>
    <w:rsid w:val="00214231"/>
    <w:rsid w:val="00290584"/>
    <w:rsid w:val="00291DA7"/>
    <w:rsid w:val="002A307D"/>
    <w:rsid w:val="002E1846"/>
    <w:rsid w:val="00371EB2"/>
    <w:rsid w:val="003A238D"/>
    <w:rsid w:val="003A2EC0"/>
    <w:rsid w:val="003C72CA"/>
    <w:rsid w:val="003D0929"/>
    <w:rsid w:val="003D5004"/>
    <w:rsid w:val="004361BA"/>
    <w:rsid w:val="004728CC"/>
    <w:rsid w:val="0059138A"/>
    <w:rsid w:val="005E4F46"/>
    <w:rsid w:val="006146D3"/>
    <w:rsid w:val="00617996"/>
    <w:rsid w:val="00671138"/>
    <w:rsid w:val="006856BB"/>
    <w:rsid w:val="006A6F20"/>
    <w:rsid w:val="006B60D3"/>
    <w:rsid w:val="0075063B"/>
    <w:rsid w:val="007B3E84"/>
    <w:rsid w:val="00847775"/>
    <w:rsid w:val="00853526"/>
    <w:rsid w:val="00881622"/>
    <w:rsid w:val="00881EF9"/>
    <w:rsid w:val="008D12A6"/>
    <w:rsid w:val="00962AD5"/>
    <w:rsid w:val="00977624"/>
    <w:rsid w:val="00A464D6"/>
    <w:rsid w:val="00A7535C"/>
    <w:rsid w:val="00AD4463"/>
    <w:rsid w:val="00AF3854"/>
    <w:rsid w:val="00B32F7D"/>
    <w:rsid w:val="00B71DE8"/>
    <w:rsid w:val="00B74D51"/>
    <w:rsid w:val="00BC01C1"/>
    <w:rsid w:val="00BC295F"/>
    <w:rsid w:val="00BE0371"/>
    <w:rsid w:val="00C11268"/>
    <w:rsid w:val="00C24D6E"/>
    <w:rsid w:val="00C7082B"/>
    <w:rsid w:val="00C720C8"/>
    <w:rsid w:val="00C94897"/>
    <w:rsid w:val="00CA7EB3"/>
    <w:rsid w:val="00CB5AF0"/>
    <w:rsid w:val="00CC1A42"/>
    <w:rsid w:val="00D03962"/>
    <w:rsid w:val="00D13D75"/>
    <w:rsid w:val="00D3317B"/>
    <w:rsid w:val="00D8234A"/>
    <w:rsid w:val="00DB0AC0"/>
    <w:rsid w:val="00DD412B"/>
    <w:rsid w:val="00DF66AB"/>
    <w:rsid w:val="00E66F99"/>
    <w:rsid w:val="00E74CB5"/>
    <w:rsid w:val="00F34275"/>
    <w:rsid w:val="00F3714C"/>
    <w:rsid w:val="00F51894"/>
    <w:rsid w:val="00F6632B"/>
    <w:rsid w:val="00F77191"/>
    <w:rsid w:val="00F93A8D"/>
    <w:rsid w:val="00F97CF0"/>
    <w:rsid w:val="00FB319D"/>
    <w:rsid w:val="00FB77D5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b/>
        <w:smallCaps/>
        <w:sz w:val="56"/>
        <w:szCs w:val="56"/>
        <w:vertAlign w:val="sub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2B"/>
    <w:pPr>
      <w:spacing w:after="0" w:line="240" w:lineRule="auto"/>
    </w:pPr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paragraph" w:styleId="Heading1">
    <w:name w:val="heading 1"/>
    <w:basedOn w:val="Normal"/>
    <w:next w:val="Normal"/>
    <w:link w:val="Heading1Char"/>
    <w:qFormat/>
    <w:rsid w:val="00F6632B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32B"/>
    <w:pPr>
      <w:keepNext/>
      <w:jc w:val="center"/>
      <w:outlineLvl w:val="1"/>
    </w:pPr>
    <w:rPr>
      <w:b/>
      <w:bCs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63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63B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63B"/>
    <w:pPr>
      <w:keepNext/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7BBB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1EB2"/>
    <w:pPr>
      <w:keepNext/>
      <w:jc w:val="center"/>
      <w:outlineLvl w:val="6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32B"/>
    <w:rPr>
      <w:rFonts w:ascii="Times New Roman" w:eastAsia="Times New Roman" w:hAnsi="Times New Roman"/>
      <w:bCs/>
      <w:smallCaps w:val="0"/>
      <w:sz w:val="36"/>
      <w:szCs w:val="24"/>
      <w:vertAlign w:val="baseline"/>
      <w:lang w:val="sq-AL"/>
    </w:rPr>
  </w:style>
  <w:style w:type="paragraph" w:styleId="BodyTextIndent">
    <w:name w:val="Body Text Indent"/>
    <w:basedOn w:val="Normal"/>
    <w:link w:val="BodyTextIndentChar"/>
    <w:rsid w:val="00F6632B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6632B"/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paragraph" w:styleId="BodyText2">
    <w:name w:val="Body Text 2"/>
    <w:basedOn w:val="Normal"/>
    <w:link w:val="BodyText2Char"/>
    <w:rsid w:val="00F6632B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F6632B"/>
    <w:rPr>
      <w:rFonts w:ascii="Times New Roman" w:eastAsia="Times New Roman" w:hAnsi="Times New Roman"/>
      <w:b w:val="0"/>
      <w:i/>
      <w:iCs/>
      <w:smallCaps w:val="0"/>
      <w:sz w:val="24"/>
      <w:szCs w:val="24"/>
      <w:vertAlign w:val="baseline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6632B"/>
    <w:rPr>
      <w:rFonts w:ascii="Times New Roman" w:eastAsia="Times New Roman" w:hAnsi="Times New Roman"/>
      <w:bCs/>
      <w:smallCaps w:val="0"/>
      <w:sz w:val="24"/>
      <w:szCs w:val="24"/>
      <w:vertAlign w:val="baseline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75063B"/>
    <w:rPr>
      <w:rFonts w:ascii="Times New Roman" w:eastAsia="Times New Roman" w:hAnsi="Times New Roman"/>
      <w:bCs/>
      <w:smallCaps w:val="0"/>
      <w:sz w:val="24"/>
      <w:szCs w:val="24"/>
      <w:u w:val="single"/>
      <w:vertAlign w:val="baseline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5063B"/>
    <w:rPr>
      <w:rFonts w:ascii="Times New Roman" w:eastAsia="Times New Roman" w:hAnsi="Times New Roman"/>
      <w:bCs/>
      <w:smallCaps w:val="0"/>
      <w:sz w:val="24"/>
      <w:szCs w:val="24"/>
      <w:vertAlign w:val="baseline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5063B"/>
    <w:rPr>
      <w:rFonts w:ascii="Times New Roman" w:eastAsia="Times New Roman" w:hAnsi="Times New Roman"/>
      <w:bCs/>
      <w:smallCaps w:val="0"/>
      <w:color w:val="000000"/>
      <w:sz w:val="24"/>
      <w:szCs w:val="24"/>
      <w:vertAlign w:val="baseline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84777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47775"/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0A7BBB"/>
    <w:rPr>
      <w:rFonts w:ascii="Times New Roman" w:eastAsia="Times New Roman" w:hAnsi="Times New Roman"/>
      <w:b w:val="0"/>
      <w:i/>
      <w:smallCaps w:val="0"/>
      <w:sz w:val="24"/>
      <w:szCs w:val="24"/>
      <w:vertAlign w:val="baseline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rsid w:val="00371EB2"/>
    <w:rPr>
      <w:rFonts w:ascii="Times New Roman" w:eastAsia="Times New Roman" w:hAnsi="Times New Roman"/>
      <w:bCs/>
      <w:smallCaps w:val="0"/>
      <w:color w:val="FF0000"/>
      <w:sz w:val="24"/>
      <w:szCs w:val="24"/>
      <w:vertAlign w:val="baseline"/>
      <w:lang w:val="sq-AL"/>
    </w:rPr>
  </w:style>
  <w:style w:type="paragraph" w:styleId="ListParagraph">
    <w:name w:val="List Paragraph"/>
    <w:basedOn w:val="Normal"/>
    <w:uiPriority w:val="34"/>
    <w:qFormat/>
    <w:rsid w:val="00FB31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42"/>
    <w:rPr>
      <w:rFonts w:ascii="Tahoma" w:eastAsia="Times New Roman" w:hAnsi="Tahoma" w:cs="Tahoma"/>
      <w:b w:val="0"/>
      <w:smallCaps w:val="0"/>
      <w:sz w:val="16"/>
      <w:szCs w:val="16"/>
      <w:vertAlign w:val="baseline"/>
      <w:lang w:val="sq-AL"/>
    </w:rPr>
  </w:style>
  <w:style w:type="table" w:styleId="TableGrid">
    <w:name w:val="Table Grid"/>
    <w:basedOn w:val="TableNormal"/>
    <w:uiPriority w:val="39"/>
    <w:rsid w:val="00CA7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b/>
        <w:smallCaps/>
        <w:sz w:val="56"/>
        <w:szCs w:val="56"/>
        <w:vertAlign w:val="sub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2B"/>
    <w:pPr>
      <w:spacing w:after="0" w:line="240" w:lineRule="auto"/>
    </w:pPr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paragraph" w:styleId="Heading1">
    <w:name w:val="heading 1"/>
    <w:basedOn w:val="Normal"/>
    <w:next w:val="Normal"/>
    <w:link w:val="Heading1Char"/>
    <w:qFormat/>
    <w:rsid w:val="00F6632B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32B"/>
    <w:pPr>
      <w:keepNext/>
      <w:jc w:val="center"/>
      <w:outlineLvl w:val="1"/>
    </w:pPr>
    <w:rPr>
      <w:b/>
      <w:bCs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63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63B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63B"/>
    <w:pPr>
      <w:keepNext/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7BBB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1EB2"/>
    <w:pPr>
      <w:keepNext/>
      <w:jc w:val="center"/>
      <w:outlineLvl w:val="6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32B"/>
    <w:rPr>
      <w:rFonts w:ascii="Times New Roman" w:eastAsia="Times New Roman" w:hAnsi="Times New Roman"/>
      <w:bCs/>
      <w:smallCaps w:val="0"/>
      <w:sz w:val="36"/>
      <w:szCs w:val="24"/>
      <w:vertAlign w:val="baseline"/>
      <w:lang w:val="sq-AL"/>
    </w:rPr>
  </w:style>
  <w:style w:type="paragraph" w:styleId="BodyTextIndent">
    <w:name w:val="Body Text Indent"/>
    <w:basedOn w:val="Normal"/>
    <w:link w:val="BodyTextIndentChar"/>
    <w:rsid w:val="00F6632B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6632B"/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paragraph" w:styleId="BodyText2">
    <w:name w:val="Body Text 2"/>
    <w:basedOn w:val="Normal"/>
    <w:link w:val="BodyText2Char"/>
    <w:rsid w:val="00F6632B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F6632B"/>
    <w:rPr>
      <w:rFonts w:ascii="Times New Roman" w:eastAsia="Times New Roman" w:hAnsi="Times New Roman"/>
      <w:b w:val="0"/>
      <w:i/>
      <w:iCs/>
      <w:smallCaps w:val="0"/>
      <w:sz w:val="24"/>
      <w:szCs w:val="24"/>
      <w:vertAlign w:val="baseline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6632B"/>
    <w:rPr>
      <w:rFonts w:ascii="Times New Roman" w:eastAsia="Times New Roman" w:hAnsi="Times New Roman"/>
      <w:bCs/>
      <w:smallCaps w:val="0"/>
      <w:sz w:val="24"/>
      <w:szCs w:val="24"/>
      <w:vertAlign w:val="baseline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75063B"/>
    <w:rPr>
      <w:rFonts w:ascii="Times New Roman" w:eastAsia="Times New Roman" w:hAnsi="Times New Roman"/>
      <w:bCs/>
      <w:smallCaps w:val="0"/>
      <w:sz w:val="24"/>
      <w:szCs w:val="24"/>
      <w:u w:val="single"/>
      <w:vertAlign w:val="baseline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5063B"/>
    <w:rPr>
      <w:rFonts w:ascii="Times New Roman" w:eastAsia="Times New Roman" w:hAnsi="Times New Roman"/>
      <w:bCs/>
      <w:smallCaps w:val="0"/>
      <w:sz w:val="24"/>
      <w:szCs w:val="24"/>
      <w:vertAlign w:val="baseline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5063B"/>
    <w:rPr>
      <w:rFonts w:ascii="Times New Roman" w:eastAsia="Times New Roman" w:hAnsi="Times New Roman"/>
      <w:bCs/>
      <w:smallCaps w:val="0"/>
      <w:color w:val="000000"/>
      <w:sz w:val="24"/>
      <w:szCs w:val="24"/>
      <w:vertAlign w:val="baseline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84777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47775"/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0A7BBB"/>
    <w:rPr>
      <w:rFonts w:ascii="Times New Roman" w:eastAsia="Times New Roman" w:hAnsi="Times New Roman"/>
      <w:b w:val="0"/>
      <w:i/>
      <w:smallCaps w:val="0"/>
      <w:sz w:val="24"/>
      <w:szCs w:val="24"/>
      <w:vertAlign w:val="baseline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rsid w:val="00371EB2"/>
    <w:rPr>
      <w:rFonts w:ascii="Times New Roman" w:eastAsia="Times New Roman" w:hAnsi="Times New Roman"/>
      <w:bCs/>
      <w:smallCaps w:val="0"/>
      <w:color w:val="FF0000"/>
      <w:sz w:val="24"/>
      <w:szCs w:val="24"/>
      <w:vertAlign w:val="baseline"/>
      <w:lang w:val="sq-AL"/>
    </w:rPr>
  </w:style>
  <w:style w:type="paragraph" w:styleId="ListParagraph">
    <w:name w:val="List Paragraph"/>
    <w:basedOn w:val="Normal"/>
    <w:uiPriority w:val="34"/>
    <w:qFormat/>
    <w:rsid w:val="00FB31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42"/>
    <w:rPr>
      <w:rFonts w:ascii="Tahoma" w:eastAsia="Times New Roman" w:hAnsi="Tahoma" w:cs="Tahoma"/>
      <w:b w:val="0"/>
      <w:smallCaps w:val="0"/>
      <w:sz w:val="16"/>
      <w:szCs w:val="16"/>
      <w:vertAlign w:val="baseline"/>
      <w:lang w:val="sq-AL"/>
    </w:rPr>
  </w:style>
  <w:style w:type="table" w:styleId="TableGrid">
    <w:name w:val="Table Grid"/>
    <w:basedOn w:val="TableNormal"/>
    <w:uiPriority w:val="39"/>
    <w:rsid w:val="00CA7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69D7-124C-4846-8602-5AAD3D37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Agroni</dc:creator>
  <cp:lastModifiedBy>Sadri Arifi</cp:lastModifiedBy>
  <cp:revision>8</cp:revision>
  <cp:lastPrinted>2018-11-05T09:05:00Z</cp:lastPrinted>
  <dcterms:created xsi:type="dcterms:W3CDTF">2018-11-07T12:29:00Z</dcterms:created>
  <dcterms:modified xsi:type="dcterms:W3CDTF">2018-11-29T11:23:00Z</dcterms:modified>
</cp:coreProperties>
</file>