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D9" w:rsidRPr="00A856D9" w:rsidRDefault="00BE6A5F" w:rsidP="00A856D9">
      <w:pPr>
        <w:jc w:val="right"/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5AB132" wp14:editId="5C4CAAD9">
                <wp:simplePos x="0" y="0"/>
                <wp:positionH relativeFrom="column">
                  <wp:posOffset>1323975</wp:posOffset>
                </wp:positionH>
                <wp:positionV relativeFrom="paragraph">
                  <wp:posOffset>173355</wp:posOffset>
                </wp:positionV>
                <wp:extent cx="3657600" cy="9334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D26" w:rsidRDefault="00B31D26" w:rsidP="007A4650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B31D26" w:rsidRDefault="00B31D26" w:rsidP="007A46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KOSOVËS</w:t>
                            </w:r>
                          </w:p>
                          <w:p w:rsidR="00B31D26" w:rsidRDefault="00B31D26" w:rsidP="007A46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B31D26" w:rsidRPr="007A4650" w:rsidRDefault="00B31D26" w:rsidP="007A46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7A4650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Komuna e Gjilanit</w:t>
                            </w:r>
                          </w:p>
                          <w:p w:rsidR="00B31D26" w:rsidRDefault="00B31D26" w:rsidP="007A46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31D26" w:rsidRDefault="00B31D26" w:rsidP="007A465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B31D26" w:rsidRDefault="00B31D26" w:rsidP="007A465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OPŠTINA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/MUNICIPAL GJILAN/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GILAN  BELEDIYESI</w:t>
                            </w:r>
                            <w:proofErr w:type="gramEnd"/>
                          </w:p>
                          <w:p w:rsidR="00B31D26" w:rsidRDefault="00B31D26" w:rsidP="007A46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5pt;margin-top:13.65pt;width:4in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">
                <v:textbox>
                  <w:txbxContent>
                    <w:p w:rsidR="00B31D26" w:rsidRDefault="00B31D26" w:rsidP="007A4650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B31D26" w:rsidRDefault="00B31D26" w:rsidP="007A4650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KOSOVËS</w:t>
                      </w:r>
                    </w:p>
                    <w:p w:rsidR="00B31D26" w:rsidRDefault="00B31D26" w:rsidP="007A4650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B31D26" w:rsidRPr="007A4650" w:rsidRDefault="00B31D26" w:rsidP="007A4650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7A4650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Komuna e Gjilanit</w:t>
                      </w:r>
                    </w:p>
                    <w:p w:rsidR="00B31D26" w:rsidRDefault="00B31D26" w:rsidP="007A4650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  <w:p w:rsidR="00B31D26" w:rsidRDefault="00B31D26" w:rsidP="007A4650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B31D26" w:rsidRDefault="00B31D26" w:rsidP="007A4650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OPŠTINA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/MUNICIPAL GJILAN/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GILAN  BELEDIYESI</w:t>
                      </w:r>
                      <w:proofErr w:type="gramEnd"/>
                    </w:p>
                    <w:p w:rsidR="00B31D26" w:rsidRDefault="00B31D26" w:rsidP="007A465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12F8" w:rsidRPr="00B86C86" w:rsidRDefault="00CE12F8" w:rsidP="00CE12F8">
      <w:pPr>
        <w:rPr>
          <w:rFonts w:ascii="Book Antiqua" w:eastAsia="MS Mincho" w:hAnsi="Book Antiqua"/>
        </w:rPr>
      </w:pPr>
      <w:r>
        <w:rPr>
          <w:rFonts w:ascii="Book Antiqua" w:eastAsia="MS Mincho" w:hAnsi="Book Antiqua"/>
          <w:noProof/>
          <w:lang w:val="sq-AL" w:eastAsia="sq-AL"/>
        </w:rPr>
        <w:drawing>
          <wp:inline distT="0" distB="0" distL="0" distR="0" wp14:anchorId="1F33268B" wp14:editId="085A7286">
            <wp:extent cx="762000" cy="822960"/>
            <wp:effectExtent l="19050" t="0" r="0" b="0"/>
            <wp:docPr id="8" name="Picture 8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C86">
        <w:rPr>
          <w:rFonts w:ascii="Book Antiqua" w:eastAsia="MS Mincho" w:hAnsi="Book Antiqua"/>
        </w:rPr>
        <w:t xml:space="preserve">                                                                                           </w:t>
      </w:r>
      <w:r>
        <w:rPr>
          <w:rFonts w:ascii="Book Antiqua" w:eastAsia="MS Mincho" w:hAnsi="Book Antiqua"/>
        </w:rPr>
        <w:tab/>
      </w:r>
      <w:r>
        <w:rPr>
          <w:rFonts w:ascii="Book Antiqua" w:eastAsia="MS Mincho" w:hAnsi="Book Antiqua"/>
        </w:rPr>
        <w:tab/>
      </w:r>
      <w:r>
        <w:rPr>
          <w:rFonts w:ascii="Book Antiqua" w:eastAsia="MS Mincho" w:hAnsi="Book Antiqua"/>
        </w:rPr>
        <w:tab/>
      </w:r>
      <w:r w:rsidRPr="00B86C86">
        <w:rPr>
          <w:rFonts w:ascii="Book Antiqua" w:eastAsia="MS Mincho" w:hAnsi="Book Antiqua"/>
        </w:rPr>
        <w:t xml:space="preserve">    </w:t>
      </w:r>
      <w:r>
        <w:rPr>
          <w:rFonts w:ascii="Book Antiqua" w:eastAsia="MS Mincho" w:hAnsi="Book Antiqua"/>
          <w:noProof/>
          <w:lang w:val="sq-AL" w:eastAsia="sq-AL"/>
        </w:rPr>
        <w:drawing>
          <wp:inline distT="0" distB="0" distL="0" distR="0" wp14:anchorId="10E831DC" wp14:editId="36CD7AB9">
            <wp:extent cx="769620" cy="82296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2F8" w:rsidRPr="00CE12F8" w:rsidRDefault="00CE12F8" w:rsidP="00CE12F8">
      <w:pPr>
        <w:rPr>
          <w:rFonts w:ascii="Times New Roman" w:eastAsia="MS Mincho" w:hAnsi="Times New Roman"/>
        </w:rPr>
      </w:pPr>
    </w:p>
    <w:p w:rsidR="00CE12F8" w:rsidRPr="00CE12F8" w:rsidRDefault="00CE12F8" w:rsidP="00CE12F8">
      <w:pPr>
        <w:rPr>
          <w:rFonts w:ascii="Times New Roman" w:eastAsia="MS Mincho" w:hAnsi="Times New Roman"/>
          <w:b/>
        </w:rPr>
      </w:pPr>
      <w:r w:rsidRPr="00CE12F8">
        <w:rPr>
          <w:rFonts w:ascii="Times New Roman" w:eastAsia="MS Mincho" w:hAnsi="Times New Roman"/>
          <w:b/>
        </w:rPr>
        <w:t xml:space="preserve">Republika e Kosovës                                                                                  </w:t>
      </w:r>
      <w:r w:rsidRPr="00CE12F8">
        <w:rPr>
          <w:rFonts w:ascii="Times New Roman" w:eastAsia="MS Mincho" w:hAnsi="Times New Roman"/>
          <w:b/>
        </w:rPr>
        <w:tab/>
      </w:r>
      <w:r w:rsidRPr="00CE12F8">
        <w:rPr>
          <w:rFonts w:ascii="Times New Roman" w:eastAsia="MS Mincho" w:hAnsi="Times New Roman"/>
          <w:b/>
        </w:rPr>
        <w:tab/>
      </w:r>
      <w:r w:rsidRPr="00CE12F8">
        <w:rPr>
          <w:rFonts w:ascii="Times New Roman" w:eastAsia="MS Mincho" w:hAnsi="Times New Roman"/>
          <w:b/>
        </w:rPr>
        <w:tab/>
        <w:t xml:space="preserve"> Komuna e Gjilanit</w:t>
      </w:r>
    </w:p>
    <w:p w:rsidR="00CE12F8" w:rsidRPr="00CE12F8" w:rsidRDefault="00CE12F8" w:rsidP="00CE12F8">
      <w:pPr>
        <w:rPr>
          <w:rFonts w:ascii="Times New Roman" w:eastAsia="MS Mincho" w:hAnsi="Times New Roman"/>
          <w:b/>
        </w:rPr>
      </w:pPr>
      <w:r w:rsidRPr="00CE12F8">
        <w:rPr>
          <w:rFonts w:ascii="Times New Roman" w:eastAsia="MS Mincho" w:hAnsi="Times New Roman"/>
          <w:b/>
        </w:rPr>
        <w:t xml:space="preserve">Republika Kosova                                                                                    </w:t>
      </w:r>
      <w:r w:rsidRPr="00CE12F8">
        <w:rPr>
          <w:rFonts w:ascii="Times New Roman" w:eastAsia="MS Mincho" w:hAnsi="Times New Roman"/>
          <w:b/>
        </w:rPr>
        <w:tab/>
      </w:r>
      <w:r w:rsidRPr="00CE12F8">
        <w:rPr>
          <w:rFonts w:ascii="Times New Roman" w:eastAsia="MS Mincho" w:hAnsi="Times New Roman"/>
          <w:b/>
        </w:rPr>
        <w:tab/>
      </w:r>
      <w:r w:rsidRPr="00CE12F8">
        <w:rPr>
          <w:rFonts w:ascii="Times New Roman" w:eastAsia="MS Mincho" w:hAnsi="Times New Roman"/>
          <w:b/>
        </w:rPr>
        <w:tab/>
        <w:t xml:space="preserve"> Opština Gnjilane</w:t>
      </w:r>
    </w:p>
    <w:p w:rsidR="00CE12F8" w:rsidRPr="00CE12F8" w:rsidRDefault="00CE12F8" w:rsidP="00CE12F8">
      <w:pPr>
        <w:rPr>
          <w:rFonts w:ascii="Times New Roman" w:eastAsia="MS Mincho" w:hAnsi="Times New Roman"/>
          <w:b/>
        </w:rPr>
      </w:pPr>
      <w:r w:rsidRPr="00CE12F8">
        <w:rPr>
          <w:rFonts w:ascii="Times New Roman" w:eastAsia="MS Mincho" w:hAnsi="Times New Roman"/>
          <w:b/>
        </w:rPr>
        <w:t xml:space="preserve">Republic of Kosovo                                                                                     </w:t>
      </w:r>
      <w:r w:rsidRPr="00CE12F8">
        <w:rPr>
          <w:rFonts w:ascii="Times New Roman" w:eastAsia="MS Mincho" w:hAnsi="Times New Roman"/>
          <w:b/>
        </w:rPr>
        <w:tab/>
      </w:r>
      <w:r w:rsidRPr="00CE12F8">
        <w:rPr>
          <w:rFonts w:ascii="Times New Roman" w:eastAsia="MS Mincho" w:hAnsi="Times New Roman"/>
          <w:b/>
        </w:rPr>
        <w:tab/>
        <w:t>Municipality of Gjilan</w:t>
      </w:r>
    </w:p>
    <w:p w:rsidR="00CE12F8" w:rsidRPr="00CE12F8" w:rsidRDefault="00CE12F8" w:rsidP="00CE12F8">
      <w:pPr>
        <w:pBdr>
          <w:bottom w:val="single" w:sz="12" w:space="1" w:color="auto"/>
        </w:pBdr>
        <w:spacing w:after="60"/>
        <w:outlineLvl w:val="5"/>
        <w:rPr>
          <w:rFonts w:ascii="Times New Roman" w:eastAsia="MS Mincho" w:hAnsi="Times New Roman"/>
          <w:b/>
          <w:bCs/>
        </w:rPr>
      </w:pPr>
      <w:r w:rsidRPr="00CE12F8">
        <w:rPr>
          <w:rFonts w:ascii="Times New Roman" w:eastAsia="MS Mincho" w:hAnsi="Times New Roman"/>
          <w:b/>
          <w:bCs/>
        </w:rPr>
        <w:t xml:space="preserve">                                                                                                          </w:t>
      </w:r>
      <w:r w:rsidRPr="00CE12F8">
        <w:rPr>
          <w:rFonts w:ascii="Times New Roman" w:eastAsia="MS Mincho" w:hAnsi="Times New Roman"/>
          <w:b/>
          <w:bCs/>
        </w:rPr>
        <w:tab/>
      </w:r>
      <w:r w:rsidRPr="00CE12F8">
        <w:rPr>
          <w:rFonts w:ascii="Times New Roman" w:eastAsia="MS Mincho" w:hAnsi="Times New Roman"/>
          <w:b/>
          <w:bCs/>
        </w:rPr>
        <w:tab/>
      </w:r>
      <w:r w:rsidRPr="00CE12F8">
        <w:rPr>
          <w:rFonts w:ascii="Times New Roman" w:eastAsia="MS Mincho" w:hAnsi="Times New Roman"/>
          <w:b/>
          <w:bCs/>
        </w:rPr>
        <w:tab/>
        <w:t xml:space="preserve"> Gilan Belediyesi  </w:t>
      </w:r>
    </w:p>
    <w:p w:rsidR="00FA0599" w:rsidRDefault="00FA0599">
      <w:pPr>
        <w:rPr>
          <w:noProof/>
        </w:rPr>
      </w:pPr>
    </w:p>
    <w:p w:rsidR="00853AEF" w:rsidRDefault="00853AEF"/>
    <w:p w:rsidR="00853AEF" w:rsidRDefault="00853AEF"/>
    <w:p w:rsidR="00853AEF" w:rsidRDefault="00853AEF"/>
    <w:p w:rsidR="00853AEF" w:rsidRPr="00BE6A5F" w:rsidRDefault="00853AEF">
      <w:pPr>
        <w:rPr>
          <w:sz w:val="24"/>
          <w:szCs w:val="24"/>
        </w:rPr>
      </w:pPr>
      <w:bookmarkStart w:id="0" w:name="_GoBack"/>
    </w:p>
    <w:p w:rsidR="00853AEF" w:rsidRPr="00BE6A5F" w:rsidRDefault="00596ACD" w:rsidP="006C21AA">
      <w:pPr>
        <w:pBdr>
          <w:bar w:val="single" w:sz="8" w:color="FF0000"/>
        </w:pBdr>
        <w:jc w:val="center"/>
        <w:rPr>
          <w:rFonts w:ascii="Arial" w:hAnsi="Arial" w:cs="Arial"/>
          <w:b/>
          <w:sz w:val="24"/>
          <w:szCs w:val="24"/>
        </w:rPr>
      </w:pPr>
      <w:r w:rsidRPr="00BE6A5F">
        <w:rPr>
          <w:rFonts w:ascii="Arial" w:hAnsi="Arial" w:cs="Arial"/>
          <w:b/>
          <w:sz w:val="24"/>
          <w:szCs w:val="24"/>
        </w:rPr>
        <w:t xml:space="preserve">SREDNJOROCNI BUDZETSKI </w:t>
      </w:r>
      <w:proofErr w:type="gramStart"/>
      <w:r w:rsidRPr="00BE6A5F">
        <w:rPr>
          <w:rFonts w:ascii="Arial" w:hAnsi="Arial" w:cs="Arial"/>
          <w:b/>
          <w:sz w:val="24"/>
          <w:szCs w:val="24"/>
        </w:rPr>
        <w:t>OKVIR</w:t>
      </w:r>
      <w:r w:rsidR="00FA0599" w:rsidRPr="00BE6A5F">
        <w:rPr>
          <w:rFonts w:ascii="Arial" w:hAnsi="Arial" w:cs="Arial"/>
          <w:b/>
          <w:sz w:val="24"/>
          <w:szCs w:val="24"/>
        </w:rPr>
        <w:t xml:space="preserve">  </w:t>
      </w:r>
      <w:r w:rsidR="00853AEF" w:rsidRPr="00BE6A5F">
        <w:rPr>
          <w:rFonts w:ascii="Arial" w:hAnsi="Arial" w:cs="Arial"/>
          <w:b/>
          <w:sz w:val="24"/>
          <w:szCs w:val="24"/>
        </w:rPr>
        <w:t>2020</w:t>
      </w:r>
      <w:proofErr w:type="gramEnd"/>
      <w:r w:rsidR="00853AEF" w:rsidRPr="00BE6A5F">
        <w:rPr>
          <w:rFonts w:ascii="Arial" w:hAnsi="Arial" w:cs="Arial"/>
          <w:b/>
          <w:sz w:val="24"/>
          <w:szCs w:val="24"/>
        </w:rPr>
        <w:t>-2022</w:t>
      </w:r>
    </w:p>
    <w:bookmarkEnd w:id="0"/>
    <w:p w:rsidR="00853AEF" w:rsidRDefault="00853AEF" w:rsidP="00076482">
      <w:pPr>
        <w:pBdr>
          <w:bar w:val="single" w:sz="8" w:color="FF0000"/>
        </w:pBdr>
        <w:rPr>
          <w:rFonts w:ascii="Arial" w:hAnsi="Arial" w:cs="Arial"/>
          <w:b/>
          <w:sz w:val="72"/>
          <w:szCs w:val="72"/>
        </w:rPr>
      </w:pPr>
    </w:p>
    <w:p w:rsidR="00853AEF" w:rsidRDefault="00853AEF" w:rsidP="00076482">
      <w:pPr>
        <w:pBdr>
          <w:bar w:val="single" w:sz="8" w:color="FF0000"/>
        </w:pBdr>
        <w:rPr>
          <w:rFonts w:ascii="Arial" w:hAnsi="Arial" w:cs="Arial"/>
          <w:b/>
          <w:sz w:val="72"/>
          <w:szCs w:val="72"/>
        </w:rPr>
      </w:pPr>
    </w:p>
    <w:p w:rsidR="00FA0599" w:rsidRDefault="00FA0599" w:rsidP="0045497E">
      <w:pPr>
        <w:ind w:left="3600" w:firstLine="720"/>
      </w:pPr>
      <w:r>
        <w:t>G</w:t>
      </w:r>
      <w:r w:rsidR="00262A6F">
        <w:t>N</w:t>
      </w:r>
      <w:r>
        <w:t>JILAN</w:t>
      </w:r>
      <w:r w:rsidR="00262A6F">
        <w:t>E</w:t>
      </w:r>
    </w:p>
    <w:p w:rsidR="00CD7BD9" w:rsidRDefault="00CD7BD9"/>
    <w:p w:rsidR="00853AEF" w:rsidRDefault="00853AEF"/>
    <w:p w:rsidR="00853AEF" w:rsidRDefault="00853AEF"/>
    <w:p w:rsidR="00853AEF" w:rsidRDefault="00853AEF"/>
    <w:p w:rsidR="00853AEF" w:rsidRDefault="00853AEF"/>
    <w:p w:rsidR="00CD7BD9" w:rsidRPr="00F274F9" w:rsidRDefault="000C2A51" w:rsidP="00CD7BD9">
      <w:pPr>
        <w:jc w:val="center"/>
        <w:rPr>
          <w:rFonts w:cs="Segoe UI"/>
          <w:b/>
          <w:color w:val="FF0000"/>
          <w:sz w:val="40"/>
          <w:szCs w:val="40"/>
        </w:rPr>
      </w:pPr>
      <w:r>
        <w:rPr>
          <w:rFonts w:cs="Segoe UI"/>
          <w:b/>
          <w:color w:val="FF0000"/>
          <w:sz w:val="40"/>
          <w:szCs w:val="40"/>
        </w:rPr>
        <w:lastRenderedPageBreak/>
        <w:t>Sadrzaj</w:t>
      </w:r>
    </w:p>
    <w:p w:rsidR="00CD7BD9" w:rsidRPr="00F274F9" w:rsidRDefault="00CD7BD9" w:rsidP="00CD7BD9">
      <w:pPr>
        <w:rPr>
          <w:rFonts w:cs="Segoe UI"/>
          <w:color w:val="FF0000"/>
        </w:rPr>
      </w:pPr>
    </w:p>
    <w:p w:rsidR="00CD7BD9" w:rsidRPr="00F274F9" w:rsidRDefault="00CD7BD9" w:rsidP="00CD7BD9">
      <w:pPr>
        <w:rPr>
          <w:rFonts w:cs="Segoe UI"/>
        </w:rPr>
      </w:pPr>
    </w:p>
    <w:p w:rsidR="00CD7BD9" w:rsidRPr="00F274F9" w:rsidRDefault="00CD7BD9" w:rsidP="00CD7BD9">
      <w:pPr>
        <w:rPr>
          <w:rFonts w:cs="Segoe UI"/>
        </w:rPr>
      </w:pPr>
    </w:p>
    <w:p w:rsidR="00CD7BD9" w:rsidRPr="00F274F9" w:rsidRDefault="000C2A51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  <w:r>
        <w:rPr>
          <w:rFonts w:ascii="Segoe UI" w:hAnsi="Segoe UI" w:cs="Segoe UI"/>
          <w:b w:val="0"/>
          <w:i w:val="0"/>
          <w:sz w:val="28"/>
          <w:szCs w:val="28"/>
        </w:rPr>
        <w:t>I. Uvod</w:t>
      </w:r>
    </w:p>
    <w:p w:rsidR="00CD7BD9" w:rsidRPr="00F274F9" w:rsidRDefault="00CD7BD9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</w:p>
    <w:p w:rsidR="00CD7BD9" w:rsidRPr="00F274F9" w:rsidRDefault="00CD7BD9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</w:p>
    <w:p w:rsidR="00CD7BD9" w:rsidRPr="00F274F9" w:rsidRDefault="00CD7BD9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II. 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Izjava opstine u vezi prioriteta strateskog razvoja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</w:p>
    <w:p w:rsidR="00CD7BD9" w:rsidRPr="00F274F9" w:rsidRDefault="00CD7BD9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</w:p>
    <w:p w:rsidR="00CD7BD9" w:rsidRPr="00F274F9" w:rsidRDefault="00CD7BD9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</w:p>
    <w:p w:rsidR="00CD7BD9" w:rsidRPr="00F274F9" w:rsidRDefault="000C2A51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b w:val="0"/>
          <w:i w:val="0"/>
          <w:sz w:val="28"/>
          <w:szCs w:val="28"/>
        </w:rPr>
      </w:pPr>
      <w:r>
        <w:rPr>
          <w:rFonts w:ascii="Segoe UI" w:hAnsi="Segoe UI" w:cs="Segoe UI"/>
          <w:b w:val="0"/>
          <w:i w:val="0"/>
          <w:sz w:val="28"/>
          <w:szCs w:val="28"/>
        </w:rPr>
        <w:t>III. Fiskalni okvir</w:t>
      </w:r>
    </w:p>
    <w:p w:rsidR="00CD7BD9" w:rsidRPr="00F274F9" w:rsidRDefault="00CD7BD9" w:rsidP="00CD7BD9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</w:p>
    <w:p w:rsidR="00CD7BD9" w:rsidRPr="00F274F9" w:rsidRDefault="00CD7BD9" w:rsidP="00CD7BD9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</w:p>
    <w:p w:rsidR="00CD7BD9" w:rsidRPr="00F274F9" w:rsidRDefault="000C2A51" w:rsidP="00CD7BD9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  <w:r>
        <w:rPr>
          <w:rFonts w:ascii="Segoe UI" w:hAnsi="Segoe UI" w:cs="Segoe UI"/>
          <w:b w:val="0"/>
          <w:i w:val="0"/>
          <w:sz w:val="28"/>
          <w:szCs w:val="28"/>
        </w:rPr>
        <w:t>3.1 Makroekonomski opstinski okvir</w:t>
      </w:r>
      <w:r w:rsidR="00CD7BD9"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</w:p>
    <w:p w:rsidR="00CD7BD9" w:rsidRPr="00F274F9" w:rsidRDefault="00CD7BD9" w:rsidP="00CD7BD9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  <w:r w:rsidRPr="00F274F9">
        <w:rPr>
          <w:rFonts w:ascii="Segoe UI" w:hAnsi="Segoe UI" w:cs="Segoe UI"/>
          <w:b w:val="0"/>
          <w:i w:val="0"/>
          <w:sz w:val="28"/>
          <w:szCs w:val="28"/>
        </w:rPr>
        <w:t>3.2 Tendenc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ij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a 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 xml:space="preserve">opsinskih prihoda i predvidjanja 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  <w:r w:rsidR="00263B85">
        <w:rPr>
          <w:rFonts w:ascii="Segoe UI" w:hAnsi="Segoe UI" w:cs="Segoe UI"/>
          <w:b w:val="0"/>
          <w:i w:val="0"/>
          <w:sz w:val="28"/>
          <w:szCs w:val="28"/>
        </w:rPr>
        <w:t>20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>20</w:t>
      </w:r>
      <w:r w:rsidR="00263B85">
        <w:rPr>
          <w:rFonts w:ascii="Segoe UI" w:hAnsi="Segoe UI" w:cs="Segoe UI"/>
          <w:b w:val="0"/>
          <w:i w:val="0"/>
          <w:sz w:val="28"/>
          <w:szCs w:val="28"/>
        </w:rPr>
        <w:t>-2022</w:t>
      </w:r>
    </w:p>
    <w:p w:rsidR="00CD7BD9" w:rsidRPr="00F274F9" w:rsidRDefault="00CD7BD9" w:rsidP="00CD7BD9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3.3 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Spoljni donatori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</w:p>
    <w:p w:rsidR="001609BC" w:rsidRDefault="00CD7BD9" w:rsidP="001609BC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  <w:r>
        <w:rPr>
          <w:rFonts w:ascii="Segoe UI" w:hAnsi="Segoe UI" w:cs="Segoe UI"/>
          <w:b w:val="0"/>
          <w:i w:val="0"/>
          <w:sz w:val="28"/>
          <w:szCs w:val="28"/>
        </w:rPr>
        <w:t>3.4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  <w:r w:rsidR="000C2A51" w:rsidRPr="00F274F9">
        <w:rPr>
          <w:rFonts w:ascii="Segoe UI" w:hAnsi="Segoe UI" w:cs="Segoe UI"/>
          <w:b w:val="0"/>
          <w:i w:val="0"/>
          <w:sz w:val="28"/>
          <w:szCs w:val="28"/>
        </w:rPr>
        <w:t>Tendenc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ij</w:t>
      </w:r>
      <w:r w:rsidR="000C2A51"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a 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 xml:space="preserve">opsinskih rashoda i predvidjanja </w:t>
      </w:r>
      <w:r w:rsidR="000C2A51"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20</w:t>
      </w:r>
      <w:r w:rsidR="000C2A51" w:rsidRPr="00F274F9">
        <w:rPr>
          <w:rFonts w:ascii="Segoe UI" w:hAnsi="Segoe UI" w:cs="Segoe UI"/>
          <w:b w:val="0"/>
          <w:i w:val="0"/>
          <w:sz w:val="28"/>
          <w:szCs w:val="28"/>
        </w:rPr>
        <w:t>20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-2022</w:t>
      </w:r>
    </w:p>
    <w:p w:rsidR="00CD7BD9" w:rsidRDefault="00CD7BD9" w:rsidP="001609BC">
      <w:pPr>
        <w:pStyle w:val="Header"/>
        <w:tabs>
          <w:tab w:val="clear" w:pos="4320"/>
        </w:tabs>
        <w:ind w:left="720"/>
        <w:jc w:val="both"/>
        <w:rPr>
          <w:rFonts w:ascii="Segoe UI" w:hAnsi="Segoe UI" w:cs="Segoe UI"/>
          <w:b w:val="0"/>
          <w:i w:val="0"/>
          <w:sz w:val="28"/>
          <w:szCs w:val="28"/>
        </w:rPr>
      </w:pPr>
      <w:r>
        <w:rPr>
          <w:rFonts w:ascii="Segoe UI" w:hAnsi="Segoe UI" w:cs="Segoe UI"/>
          <w:b w:val="0"/>
          <w:i w:val="0"/>
          <w:sz w:val="28"/>
          <w:szCs w:val="28"/>
        </w:rPr>
        <w:t>3.5</w:t>
      </w:r>
      <w:r w:rsidRPr="00F274F9">
        <w:rPr>
          <w:rFonts w:ascii="Segoe UI" w:hAnsi="Segoe UI" w:cs="Segoe UI"/>
          <w:b w:val="0"/>
          <w:i w:val="0"/>
          <w:sz w:val="28"/>
          <w:szCs w:val="28"/>
        </w:rPr>
        <w:t xml:space="preserve"> </w:t>
      </w:r>
      <w:r w:rsidR="000C2A51">
        <w:rPr>
          <w:rFonts w:ascii="Segoe UI" w:hAnsi="Segoe UI" w:cs="Segoe UI"/>
          <w:b w:val="0"/>
          <w:i w:val="0"/>
          <w:sz w:val="28"/>
          <w:szCs w:val="28"/>
        </w:rPr>
        <w:t>Nove politike</w:t>
      </w: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0C2A51" w:rsidRPr="000C2A51" w:rsidRDefault="000C2A51" w:rsidP="001609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inherit" w:eastAsia="Times New Roman" w:hAnsi="inherit" w:cs="Courier New"/>
          <w:color w:val="222222"/>
          <w:sz w:val="19"/>
          <w:szCs w:val="19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Pr="00CB56E3" w:rsidRDefault="00CD7BD9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sz w:val="24"/>
          <w:szCs w:val="24"/>
        </w:rPr>
      </w:pPr>
    </w:p>
    <w:p w:rsidR="00CD7BD9" w:rsidRDefault="00CD7BD9" w:rsidP="00CD7BD9">
      <w:pPr>
        <w:pStyle w:val="Header"/>
        <w:tabs>
          <w:tab w:val="clear" w:pos="4320"/>
          <w:tab w:val="clear" w:pos="8640"/>
          <w:tab w:val="right" w:pos="11046"/>
        </w:tabs>
        <w:jc w:val="both"/>
        <w:rPr>
          <w:rFonts w:ascii="Garamond" w:hAnsi="Garamond" w:cs="Arial"/>
          <w:sz w:val="24"/>
          <w:szCs w:val="24"/>
        </w:rPr>
      </w:pPr>
    </w:p>
    <w:p w:rsidR="00247476" w:rsidRPr="00247476" w:rsidRDefault="00CD7BD9" w:rsidP="00247476">
      <w:pPr>
        <w:pStyle w:val="Header"/>
        <w:tabs>
          <w:tab w:val="clear" w:pos="4320"/>
          <w:tab w:val="clear" w:pos="8640"/>
          <w:tab w:val="right" w:pos="11046"/>
        </w:tabs>
        <w:rPr>
          <w:rFonts w:ascii="Times New Roman" w:hAnsi="Times New Roman"/>
          <w:i w:val="0"/>
          <w:color w:val="FF0000"/>
          <w:sz w:val="24"/>
          <w:szCs w:val="24"/>
        </w:rPr>
      </w:pPr>
      <w:r w:rsidRPr="00BB0A89">
        <w:rPr>
          <w:rFonts w:ascii="Garamond" w:hAnsi="Garamond" w:cs="Arial"/>
          <w:i w:val="0"/>
          <w:color w:val="FF0000"/>
        </w:rPr>
        <w:t>I.</w:t>
      </w:r>
      <w:r w:rsidR="00FC342A">
        <w:rPr>
          <w:rFonts w:ascii="Segoe UI" w:hAnsi="Segoe UI" w:cs="Segoe UI"/>
          <w:i w:val="0"/>
          <w:color w:val="FF0000"/>
        </w:rPr>
        <w:t>Uvod</w:t>
      </w:r>
      <w:r w:rsidRPr="00BB0A89">
        <w:rPr>
          <w:rFonts w:ascii="Segoe UI" w:hAnsi="Segoe UI" w:cs="Segoe UI"/>
          <w:i w:val="0"/>
          <w:color w:val="FF0000"/>
        </w:rPr>
        <w:t xml:space="preserve"> </w:t>
      </w:r>
    </w:p>
    <w:p w:rsidR="00247476" w:rsidRDefault="00247476" w:rsidP="001D5A32">
      <w:pPr>
        <w:pStyle w:val="Header"/>
        <w:tabs>
          <w:tab w:val="clear" w:pos="4320"/>
          <w:tab w:val="clear" w:pos="8640"/>
          <w:tab w:val="right" w:pos="11046"/>
        </w:tabs>
        <w:jc w:val="both"/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</w:pPr>
      <w:r w:rsidRPr="00247476">
        <w:rPr>
          <w:rFonts w:ascii="Times New Roman" w:hAnsi="Times New Roman"/>
          <w:sz w:val="24"/>
          <w:szCs w:val="24"/>
        </w:rPr>
        <w:br/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 xml:space="preserve">Srednjoročni budžetski okvir, SBO koji predstavljamo, je dokument koji načelno odobrava Skupština opštine. </w:t>
      </w:r>
    </w:p>
    <w:p w:rsidR="00CD7BD9" w:rsidRPr="00247476" w:rsidRDefault="00247476" w:rsidP="001D5A32">
      <w:pPr>
        <w:pStyle w:val="Header"/>
        <w:tabs>
          <w:tab w:val="clear" w:pos="4320"/>
          <w:tab w:val="clear" w:pos="8640"/>
          <w:tab w:val="right" w:pos="11046"/>
        </w:tabs>
        <w:jc w:val="both"/>
        <w:rPr>
          <w:rFonts w:ascii="Segoe UI" w:hAnsi="Segoe UI" w:cs="Segoe UI"/>
          <w:b w:val="0"/>
          <w:bCs/>
          <w:i w:val="0"/>
        </w:rPr>
      </w:pPr>
      <w:r w:rsidRPr="00247476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lastRenderedPageBreak/>
        <w:t>Ovaj materijal pruža detaljnu analizu javne potrošnje i navodi glavne parametre i prioritete za kontinuira</w:t>
      </w:r>
      <w:r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>ni razvoj godišnjeg budžeta. SBO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 xml:space="preserve"> takođe obezbeđuje neophodne mehanizme kroz koje se prioritetni ciljevi identifikovani u strateškim dokumentima opštine</w:t>
      </w:r>
      <w:r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>,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 xml:space="preserve"> u kojoj oni postoje</w:t>
      </w:r>
      <w:r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>,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 xml:space="preserve"> mogu bolje integrisati u budžetski proces.</w:t>
      </w:r>
      <w:r w:rsidR="00CD7BD9" w:rsidRPr="00247476">
        <w:rPr>
          <w:rFonts w:ascii="Segoe UI" w:hAnsi="Segoe UI" w:cs="Segoe UI"/>
          <w:b w:val="0"/>
          <w:i w:val="0"/>
        </w:rPr>
        <w:tab/>
      </w:r>
    </w:p>
    <w:p w:rsidR="00247476" w:rsidRDefault="00247476" w:rsidP="001D5A32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i w:val="0"/>
          <w:sz w:val="44"/>
        </w:rPr>
      </w:pPr>
    </w:p>
    <w:p w:rsidR="00247476" w:rsidRPr="00247476" w:rsidRDefault="00247476" w:rsidP="001D5A32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</w:pPr>
      <w:r w:rsidRPr="00247476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>Izrada Srednjoročnog budžetskog okvira je obaveza za opštinske budžetske institucije koja se zahteva Opštinskim budžetskim cirkularima 2020/2022 koje je primilo</w:t>
      </w:r>
      <w:r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 xml:space="preserve"> od Ministarstva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 xml:space="preserve"> finansija. </w:t>
      </w:r>
    </w:p>
    <w:p w:rsidR="00247476" w:rsidRDefault="00247476" w:rsidP="001D5A32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</w:pPr>
    </w:p>
    <w:p w:rsidR="00CD7BD9" w:rsidRPr="00247476" w:rsidRDefault="00247476" w:rsidP="001D5A32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36"/>
          <w:szCs w:val="24"/>
        </w:rPr>
      </w:pPr>
      <w:r w:rsidRPr="00247476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>Ovaj dokument će biti osnova za definisanje prioritetnih sektora razvoja i u</w:t>
      </w:r>
      <w:r w:rsidR="008606AB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>tvrđivanje prioriteta za raspodelu opst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>inskih resursa za period 2020-2022. Postoje četiri faze koje su su</w:t>
      </w:r>
      <w:r w:rsidR="008606AB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>mirane za razvoj opštinskog SBO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 xml:space="preserve"> </w:t>
      </w:r>
      <w:r w:rsidR="008606AB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>i vremenske rokove, kao na figuri</w:t>
      </w:r>
      <w:r w:rsidRPr="00247476">
        <w:rPr>
          <w:rFonts w:ascii="Times New Roman" w:hAnsi="Times New Roman"/>
          <w:b w:val="0"/>
          <w:i w:val="0"/>
          <w:color w:val="222222"/>
          <w:sz w:val="24"/>
          <w:szCs w:val="19"/>
          <w:shd w:val="clear" w:color="auto" w:fill="F8F9FA"/>
        </w:rPr>
        <w:t xml:space="preserve"> ispod:</w:t>
      </w:r>
    </w:p>
    <w:p w:rsidR="00CD7BD9" w:rsidRPr="00BB0A89" w:rsidRDefault="00CD7BD9" w:rsidP="00CD7BD9">
      <w:pPr>
        <w:pStyle w:val="Header"/>
        <w:tabs>
          <w:tab w:val="clear" w:pos="4320"/>
        </w:tabs>
        <w:rPr>
          <w:rFonts w:ascii="Garamond" w:hAnsi="Garamond" w:cs="Arial"/>
          <w:b w:val="0"/>
          <w:bCs/>
          <w:i w:val="0"/>
          <w:sz w:val="24"/>
          <w:szCs w:val="24"/>
        </w:rPr>
      </w:pPr>
    </w:p>
    <w:p w:rsidR="00CD7BD9" w:rsidRPr="00BB0A89" w:rsidRDefault="00535205" w:rsidP="00CD7BD9">
      <w:pPr>
        <w:pStyle w:val="Header"/>
        <w:tabs>
          <w:tab w:val="clear" w:pos="4320"/>
        </w:tabs>
        <w:jc w:val="both"/>
        <w:rPr>
          <w:rFonts w:ascii="Garamond" w:hAnsi="Garamond" w:cs="Arial"/>
          <w:bCs/>
          <w:i w:val="0"/>
        </w:rPr>
      </w:pPr>
      <w:r w:rsidRPr="00BB0A89">
        <w:rPr>
          <w:rFonts w:ascii="Garamond" w:hAnsi="Garamond" w:cs="Arial"/>
          <w:i w:val="0"/>
          <w:noProof/>
          <w:sz w:val="36"/>
          <w:szCs w:val="36"/>
          <w:lang w:eastAsia="sq-AL"/>
        </w:rPr>
        <w:drawing>
          <wp:inline distT="0" distB="0" distL="0" distR="0">
            <wp:extent cx="5989320" cy="3086100"/>
            <wp:effectExtent l="19050" t="0" r="0" b="0"/>
            <wp:docPr id="3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0505" b="-11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0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D9" w:rsidRPr="001D5A32" w:rsidRDefault="001441B6" w:rsidP="001D5A32">
      <w:pPr>
        <w:jc w:val="both"/>
        <w:rPr>
          <w:rFonts w:ascii="Times New Roman" w:hAnsi="Times New Roman"/>
          <w:sz w:val="24"/>
          <w:szCs w:val="24"/>
        </w:rPr>
      </w:pPr>
      <w:r w:rsidRPr="001D5A32">
        <w:rPr>
          <w:rFonts w:ascii="Times New Roman" w:hAnsi="Times New Roman"/>
          <w:sz w:val="24"/>
          <w:szCs w:val="24"/>
        </w:rPr>
        <w:t xml:space="preserve">MAJ-Nacrt SBO JUN-Konsultacije </w:t>
      </w:r>
      <w:proofErr w:type="gramStart"/>
      <w:r w:rsidRPr="001D5A32">
        <w:rPr>
          <w:rFonts w:ascii="Times New Roman" w:hAnsi="Times New Roman"/>
          <w:sz w:val="24"/>
          <w:szCs w:val="24"/>
        </w:rPr>
        <w:t>sa</w:t>
      </w:r>
      <w:proofErr w:type="gramEnd"/>
      <w:r w:rsidRPr="001D5A32">
        <w:rPr>
          <w:rFonts w:ascii="Times New Roman" w:hAnsi="Times New Roman"/>
          <w:sz w:val="24"/>
          <w:szCs w:val="24"/>
        </w:rPr>
        <w:t xml:space="preserve"> SO JUN-Usvajanje SBO SEPTEMBAR-Usvajanje godisnjeg budzeta</w:t>
      </w:r>
    </w:p>
    <w:p w:rsidR="00054C8B" w:rsidRPr="001D5A32" w:rsidRDefault="00054C8B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1D5A32">
        <w:rPr>
          <w:rFonts w:ascii="Times New Roman" w:hAnsi="Times New Roman" w:cs="Times New Roman"/>
          <w:color w:val="222222"/>
          <w:sz w:val="24"/>
          <w:szCs w:val="24"/>
        </w:rPr>
        <w:t>Opština je počela budžetski ciklus pregledom prioriteta iz prethodne godine, analizirajući planirane i realizovane rashode i prihode.</w:t>
      </w:r>
      <w:proofErr w:type="gramEnd"/>
      <w:r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Dokument se deli </w:t>
      </w:r>
      <w:proofErr w:type="gramStart"/>
      <w:r w:rsidRPr="001D5A32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gramEnd"/>
      <w:r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sve uprave/ sektore kao doprinos tekućem budžetskom ciklusu.</w:t>
      </w:r>
    </w:p>
    <w:p w:rsidR="00CD7BD9" w:rsidRPr="001D5A32" w:rsidRDefault="00CD7BD9" w:rsidP="001D5A32">
      <w:pPr>
        <w:jc w:val="both"/>
        <w:rPr>
          <w:rFonts w:ascii="Times New Roman" w:hAnsi="Times New Roman"/>
          <w:sz w:val="24"/>
          <w:szCs w:val="24"/>
        </w:rPr>
      </w:pPr>
    </w:p>
    <w:p w:rsidR="0088069D" w:rsidRPr="001D5A32" w:rsidRDefault="0088069D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1D5A32">
        <w:rPr>
          <w:rFonts w:ascii="Times New Roman" w:hAnsi="Times New Roman" w:cs="Times New Roman"/>
          <w:color w:val="222222"/>
          <w:sz w:val="24"/>
          <w:szCs w:val="24"/>
        </w:rPr>
        <w:t>Kao druga faza, opštinske uprave su se sastale i razgovaralo se o popunjavanju obrazaca iz svakog programa / uprave u kojim bi se objavljivali njihovi budžetski zahtevi i opštinski prihodi, za onu upravu koja to realizuje.</w:t>
      </w:r>
      <w:proofErr w:type="gramEnd"/>
    </w:p>
    <w:p w:rsidR="0088069D" w:rsidRPr="001D5A32" w:rsidRDefault="00FE46BE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color w:val="222222"/>
          <w:sz w:val="24"/>
          <w:szCs w:val="24"/>
        </w:rPr>
        <w:t>Opštinske uprave počele</w:t>
      </w:r>
      <w:r w:rsidR="0088069D"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su da popunjavaju ove obrasce rashoda i prihoda za srednjoročni budžetski period nakon što su primili interni budžetski cirkular </w:t>
      </w:r>
      <w:proofErr w:type="gramStart"/>
      <w:r w:rsidR="0088069D" w:rsidRPr="001D5A32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gramEnd"/>
      <w:r w:rsidR="0088069D"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budžetskim limitima koji su navedeni i objavljeni u prvom budžetskom cirkularu izdatom od strane Ministarstva finansija.</w:t>
      </w:r>
    </w:p>
    <w:p w:rsidR="0088069D" w:rsidRPr="001D5A32" w:rsidRDefault="0088069D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color w:val="222222"/>
          <w:sz w:val="24"/>
          <w:szCs w:val="24"/>
        </w:rPr>
        <w:t>Razvijeni su eksploratorni i konsultativ</w:t>
      </w:r>
      <w:r w:rsidR="00FE46BE"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ni sastanci </w:t>
      </w:r>
      <w:proofErr w:type="gramStart"/>
      <w:r w:rsidR="00FE46BE" w:rsidRPr="001D5A32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gramEnd"/>
      <w:r w:rsidR="00FE46BE"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odredjenim upravama u skladu sa zahtevima i potrebom do sl</w:t>
      </w:r>
      <w:r w:rsidRPr="001D5A32">
        <w:rPr>
          <w:rFonts w:ascii="Times New Roman" w:hAnsi="Times New Roman" w:cs="Times New Roman"/>
          <w:color w:val="222222"/>
          <w:sz w:val="24"/>
          <w:szCs w:val="24"/>
        </w:rPr>
        <w:t>edećeg sastanka kada se utvrd</w:t>
      </w:r>
      <w:r w:rsidR="00FE46BE" w:rsidRPr="001D5A32">
        <w:rPr>
          <w:rFonts w:ascii="Times New Roman" w:hAnsi="Times New Roman" w:cs="Times New Roman"/>
          <w:color w:val="222222"/>
          <w:sz w:val="24"/>
          <w:szCs w:val="24"/>
        </w:rPr>
        <w:t>j</w:t>
      </w:r>
      <w:r w:rsidRPr="001D5A32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FE46BE" w:rsidRPr="001D5A32">
        <w:rPr>
          <w:rFonts w:ascii="Times New Roman" w:hAnsi="Times New Roman" w:cs="Times New Roman"/>
          <w:color w:val="222222"/>
          <w:sz w:val="24"/>
          <w:szCs w:val="24"/>
        </w:rPr>
        <w:t>ni budžetski zaht</w:t>
      </w:r>
      <w:r w:rsidRPr="001D5A32">
        <w:rPr>
          <w:rFonts w:ascii="Times New Roman" w:hAnsi="Times New Roman" w:cs="Times New Roman"/>
          <w:color w:val="222222"/>
          <w:sz w:val="24"/>
          <w:szCs w:val="24"/>
        </w:rPr>
        <w:t>evi i prihodi za srednjoročni period.</w:t>
      </w:r>
    </w:p>
    <w:p w:rsidR="0088069D" w:rsidRPr="001D5A32" w:rsidRDefault="00FE46BE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color w:val="222222"/>
          <w:sz w:val="24"/>
          <w:szCs w:val="24"/>
        </w:rPr>
        <w:lastRenderedPageBreak/>
        <w:t>Uprava</w:t>
      </w:r>
      <w:r w:rsidR="0088069D"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za budžet i finansije </w:t>
      </w:r>
      <w:proofErr w:type="gramStart"/>
      <w:r w:rsidR="0088069D" w:rsidRPr="001D5A32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gramEnd"/>
      <w:r w:rsidR="0088069D"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osnovu primljenih i razmatranih budžetskih zahteva i plana prihoda razradila je sledeći dokument, koji će biti dostavljen Skupštini opštine na razmatranje i na kraju Ministarstvu finansija.</w:t>
      </w:r>
    </w:p>
    <w:p w:rsidR="00FE46BE" w:rsidRDefault="00FE46BE" w:rsidP="00CD7BD9">
      <w:pPr>
        <w:jc w:val="both"/>
        <w:rPr>
          <w:rFonts w:cs="Segoe UI"/>
        </w:rPr>
      </w:pPr>
    </w:p>
    <w:p w:rsidR="00CD7BD9" w:rsidRPr="00BB0A89" w:rsidRDefault="00CD7BD9" w:rsidP="00CD7BD9">
      <w:pPr>
        <w:pStyle w:val="Header"/>
        <w:tabs>
          <w:tab w:val="clear" w:pos="4320"/>
        </w:tabs>
        <w:jc w:val="both"/>
        <w:rPr>
          <w:rFonts w:ascii="Segoe UI" w:hAnsi="Segoe UI" w:cs="Segoe UI"/>
          <w:i w:val="0"/>
          <w:sz w:val="22"/>
          <w:szCs w:val="22"/>
        </w:rPr>
      </w:pPr>
    </w:p>
    <w:p w:rsidR="00CD7BD9" w:rsidRPr="004649AE" w:rsidRDefault="00CD7BD9" w:rsidP="004649AE">
      <w:pPr>
        <w:pStyle w:val="Header"/>
        <w:tabs>
          <w:tab w:val="clear" w:pos="4320"/>
        </w:tabs>
        <w:jc w:val="both"/>
        <w:rPr>
          <w:rFonts w:ascii="Times New Roman" w:hAnsi="Times New Roman"/>
          <w:bCs/>
          <w:i w:val="0"/>
          <w:color w:val="FF0000"/>
          <w:sz w:val="24"/>
          <w:szCs w:val="24"/>
        </w:rPr>
      </w:pPr>
      <w:r w:rsidRPr="004649AE">
        <w:rPr>
          <w:rFonts w:ascii="Times New Roman" w:hAnsi="Times New Roman"/>
          <w:i w:val="0"/>
          <w:color w:val="FF0000"/>
          <w:sz w:val="24"/>
          <w:szCs w:val="24"/>
        </w:rPr>
        <w:t xml:space="preserve">II. </w:t>
      </w:r>
      <w:r w:rsidR="004D5D44" w:rsidRPr="004649AE">
        <w:rPr>
          <w:rFonts w:ascii="Times New Roman" w:hAnsi="Times New Roman"/>
          <w:i w:val="0"/>
          <w:color w:val="FF0000"/>
          <w:sz w:val="24"/>
          <w:szCs w:val="24"/>
        </w:rPr>
        <w:t>Izjave opstine u vezi prioriteta strateskog razvoja</w:t>
      </w:r>
      <w:r w:rsidRPr="004649AE">
        <w:rPr>
          <w:rFonts w:ascii="Times New Roman" w:hAnsi="Times New Roman"/>
          <w:i w:val="0"/>
          <w:color w:val="FF0000"/>
          <w:sz w:val="24"/>
          <w:szCs w:val="24"/>
        </w:rPr>
        <w:t xml:space="preserve"> </w:t>
      </w:r>
    </w:p>
    <w:p w:rsidR="00CD7BD9" w:rsidRPr="004649AE" w:rsidRDefault="00CD7BD9" w:rsidP="004649A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2A0031" w:rsidRPr="004649AE" w:rsidRDefault="002A0031" w:rsidP="004649A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4649AE">
        <w:rPr>
          <w:rFonts w:ascii="Times New Roman" w:hAnsi="Times New Roman"/>
          <w:sz w:val="24"/>
          <w:szCs w:val="24"/>
        </w:rPr>
        <w:br/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Opština Gnjilane se nalazi u jugoistočnom delu Kosova, u regionu Anamorave.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To je jedna </w:t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od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većih opština. Njen geografski položaj omogućava da ima dobre veze </w:t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sa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drugim centrima Kosova i regiona. </w:t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Opština Gnjilane ima ukupno 42 sela.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Prema rezultatima popisa iz 2011.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godine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, Opština Gnjilane ima 90.178 stanovnika organizovanih u 17.048 domaćinstava.</w:t>
      </w:r>
    </w:p>
    <w:p w:rsidR="002A0031" w:rsidRPr="004649AE" w:rsidRDefault="002A0031" w:rsidP="004649A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4649AE">
        <w:rPr>
          <w:rFonts w:ascii="Times New Roman" w:hAnsi="Times New Roman"/>
          <w:sz w:val="24"/>
          <w:szCs w:val="24"/>
        </w:rPr>
        <w:br/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U okviru opštine posluje preko 3000 preduzeća.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Na osnovu evidencije Kancelarije za registraciju biznisa u opštini Gnjilane, oko polovina njih se bavi komercijalnim aktivnostima, 13% u sektoru usluga, oko 10% u proizvodnji, a ostatak transportom.</w:t>
      </w:r>
    </w:p>
    <w:p w:rsidR="002A0031" w:rsidRPr="004649AE" w:rsidRDefault="002A0031" w:rsidP="004649A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Opštinska uprava u Gnjilanu je organizovana oko centralnih kancelarija i lokalnih kancelarija koje pružaju usluge na </w:t>
      </w:r>
      <w:proofErr w:type="gramStart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nivou  zajednice</w:t>
      </w:r>
      <w:proofErr w:type="gramEnd"/>
      <w:r w:rsidRPr="004649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.</w:t>
      </w:r>
    </w:p>
    <w:p w:rsidR="006B6371" w:rsidRPr="004649AE" w:rsidRDefault="006B6371" w:rsidP="004649AE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49AE">
        <w:rPr>
          <w:rFonts w:ascii="Times New Roman" w:hAnsi="Times New Roman" w:cs="Times New Roman"/>
          <w:color w:val="222222"/>
          <w:sz w:val="24"/>
          <w:szCs w:val="24"/>
        </w:rPr>
        <w:t xml:space="preserve">Sledeća vizija za opštinu Gnjilane, definisana nakon konsultacija </w:t>
      </w:r>
      <w:proofErr w:type="gramStart"/>
      <w:r w:rsidRPr="004649AE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gramEnd"/>
      <w:r w:rsidRPr="004649AE">
        <w:rPr>
          <w:rFonts w:ascii="Times New Roman" w:hAnsi="Times New Roman" w:cs="Times New Roman"/>
          <w:color w:val="222222"/>
          <w:sz w:val="24"/>
          <w:szCs w:val="24"/>
        </w:rPr>
        <w:t xml:space="preserve"> važnim akterima ekonomskog i socijalnog političkog života u opštini, takođe se zasniva na srednjoročnim i dugoročnim strateškim dokumentima koje je razvile opštine, kao što su: Srednjoročni okvir rashoda (SOR) 2020-2022 Vlade Kosova i njeni prioriteti, kao i Opštinski budžetski cirkular 2020-2022 izdat od strane Ministarstva finansija Vlade Republike Kosova.</w:t>
      </w:r>
    </w:p>
    <w:p w:rsidR="006B6371" w:rsidRDefault="006B6371" w:rsidP="00CD7BD9">
      <w:pPr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8F9FA"/>
        </w:rPr>
      </w:pPr>
    </w:p>
    <w:p w:rsidR="006B6371" w:rsidRDefault="006B6371" w:rsidP="00CD7BD9">
      <w:pPr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8F9FA"/>
        </w:rPr>
      </w:pPr>
      <w:r w:rsidRPr="006B6371">
        <w:rPr>
          <w:rFonts w:ascii="Times New Roman" w:hAnsi="Times New Roman"/>
          <w:sz w:val="24"/>
          <w:szCs w:val="24"/>
          <w:u w:val="single"/>
        </w:rPr>
        <w:br/>
      </w:r>
      <w:proofErr w:type="gramStart"/>
      <w:r w:rsidRPr="006B6371">
        <w:rPr>
          <w:rFonts w:ascii="Times New Roman" w:hAnsi="Times New Roman"/>
          <w:color w:val="222222"/>
          <w:sz w:val="24"/>
          <w:szCs w:val="24"/>
          <w:u w:val="single"/>
          <w:shd w:val="clear" w:color="auto" w:fill="F8F9FA"/>
        </w:rPr>
        <w:t>Vizija Opštine za naredne tri godine je za Gnjilane bude centar za održivi ekonomski razvoj, savremeni urbanizam i efikasne i kvalitetne usluge, integrisane u regionalne i međunarodne procese kao centar bogate kulture, obrazovanja i sportskog života.</w:t>
      </w:r>
      <w:proofErr w:type="gramEnd"/>
      <w:r w:rsidRPr="006B6371">
        <w:rPr>
          <w:rFonts w:ascii="Times New Roman" w:hAnsi="Times New Roman"/>
          <w:color w:val="222222"/>
          <w:sz w:val="24"/>
          <w:szCs w:val="24"/>
          <w:u w:val="single"/>
          <w:shd w:val="clear" w:color="auto" w:fill="F8F9FA"/>
        </w:rPr>
        <w:t xml:space="preserve"> </w:t>
      </w:r>
      <w:proofErr w:type="gramStart"/>
      <w:r w:rsidRPr="006B6371">
        <w:rPr>
          <w:rFonts w:ascii="Times New Roman" w:hAnsi="Times New Roman"/>
          <w:color w:val="222222"/>
          <w:sz w:val="24"/>
          <w:szCs w:val="24"/>
          <w:u w:val="single"/>
          <w:shd w:val="clear" w:color="auto" w:fill="F8F9FA"/>
        </w:rPr>
        <w:t>sa</w:t>
      </w:r>
      <w:proofErr w:type="gramEnd"/>
      <w:r w:rsidRPr="006B6371">
        <w:rPr>
          <w:rFonts w:ascii="Times New Roman" w:hAnsi="Times New Roman"/>
          <w:color w:val="222222"/>
          <w:sz w:val="24"/>
          <w:szCs w:val="24"/>
          <w:u w:val="single"/>
          <w:shd w:val="clear" w:color="auto" w:fill="F8F9FA"/>
        </w:rPr>
        <w:t xml:space="preserve"> razvijenim finansijskim uslugama i pružanjem kvalitetnog života svojim građanima.</w:t>
      </w:r>
    </w:p>
    <w:p w:rsidR="00AA28C2" w:rsidRPr="0031018A" w:rsidRDefault="00AA28C2" w:rsidP="00AA28C2">
      <w:pPr>
        <w:pStyle w:val="HTMLPreformatted"/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19"/>
        </w:rPr>
      </w:pPr>
      <w:proofErr w:type="gramStart"/>
      <w:r w:rsidRPr="0031018A">
        <w:rPr>
          <w:rFonts w:ascii="Times New Roman" w:hAnsi="Times New Roman" w:cs="Times New Roman"/>
          <w:color w:val="222222"/>
          <w:sz w:val="24"/>
          <w:szCs w:val="19"/>
        </w:rPr>
        <w:t>Najvažniji atributi bilo kog dokumenta strateškog planiranja i definisane vizije su, pre svega, lakoća komunikacije i odgovornost.</w:t>
      </w:r>
      <w:proofErr w:type="gramEnd"/>
      <w:r w:rsidRPr="0031018A">
        <w:rPr>
          <w:rFonts w:ascii="Times New Roman" w:hAnsi="Times New Roman" w:cs="Times New Roman"/>
          <w:color w:val="222222"/>
          <w:sz w:val="24"/>
          <w:szCs w:val="19"/>
        </w:rPr>
        <w:t xml:space="preserve"> Opština Gnjilane nastavlja da radi </w:t>
      </w:r>
      <w:proofErr w:type="gramStart"/>
      <w:r w:rsidRPr="0031018A">
        <w:rPr>
          <w:rFonts w:ascii="Times New Roman" w:hAnsi="Times New Roman" w:cs="Times New Roman"/>
          <w:color w:val="222222"/>
          <w:sz w:val="24"/>
          <w:szCs w:val="19"/>
        </w:rPr>
        <w:t>na</w:t>
      </w:r>
      <w:proofErr w:type="gramEnd"/>
      <w:r w:rsidRPr="0031018A">
        <w:rPr>
          <w:rFonts w:ascii="Times New Roman" w:hAnsi="Times New Roman" w:cs="Times New Roman"/>
          <w:color w:val="222222"/>
          <w:sz w:val="24"/>
          <w:szCs w:val="19"/>
        </w:rPr>
        <w:t xml:space="preserve"> ovim atributima, kroz strateške prioritete opštine, za srednjorocni period.</w:t>
      </w:r>
    </w:p>
    <w:p w:rsidR="00E74864" w:rsidRPr="00E74864" w:rsidRDefault="00E74864" w:rsidP="00CD7BD9">
      <w:pPr>
        <w:jc w:val="both"/>
        <w:rPr>
          <w:rFonts w:ascii="Times New Roman" w:hAnsi="Times New Roman"/>
          <w:color w:val="222222"/>
          <w:sz w:val="24"/>
          <w:szCs w:val="19"/>
          <w:shd w:val="clear" w:color="auto" w:fill="F8F9FA"/>
        </w:rPr>
      </w:pPr>
      <w:r w:rsidRPr="00E74864">
        <w:rPr>
          <w:rFonts w:ascii="Times New Roman" w:hAnsi="Times New Roman"/>
          <w:sz w:val="32"/>
        </w:rPr>
        <w:br/>
      </w:r>
      <w:r w:rsidRPr="00E74864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Opština nastavlja da radi </w:t>
      </w:r>
      <w:proofErr w:type="gramStart"/>
      <w:r w:rsidRPr="00E74864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na</w:t>
      </w:r>
      <w:proofErr w:type="gramEnd"/>
      <w:r w:rsidRPr="00E74864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četiri strateška prioriteta definisana prethodnih godina: </w:t>
      </w:r>
    </w:p>
    <w:p w:rsidR="00E74864" w:rsidRPr="00E74864" w:rsidRDefault="005955FD" w:rsidP="00E74864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</w:pPr>
      <w:r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  <w:t>Jačanje opštinske ekonomije</w:t>
      </w:r>
      <w:r w:rsidR="00E74864" w:rsidRPr="00E74864"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  <w:t xml:space="preserve"> uz mogućnost za sve  </w:t>
      </w:r>
    </w:p>
    <w:p w:rsidR="00E74864" w:rsidRPr="00E74864" w:rsidRDefault="00E74864" w:rsidP="00E74864">
      <w:pPr>
        <w:pStyle w:val="ListParagraph"/>
        <w:rPr>
          <w:rFonts w:ascii="Times New Roman" w:hAnsi="Times New Roman"/>
          <w:color w:val="222222"/>
          <w:sz w:val="24"/>
          <w:szCs w:val="19"/>
          <w:shd w:val="clear" w:color="auto" w:fill="F8F9FA"/>
        </w:rPr>
      </w:pPr>
    </w:p>
    <w:p w:rsidR="00AA28C2" w:rsidRPr="00E74864" w:rsidRDefault="00E74864" w:rsidP="00E74864">
      <w:pPr>
        <w:pStyle w:val="ListParagraph"/>
        <w:rPr>
          <w:rFonts w:ascii="Times New Roman" w:hAnsi="Times New Roman"/>
          <w:color w:val="222222"/>
          <w:sz w:val="36"/>
          <w:szCs w:val="24"/>
          <w:u w:val="single"/>
          <w:shd w:val="clear" w:color="auto" w:fill="F8F9FA"/>
        </w:rPr>
      </w:pPr>
      <w:r w:rsidRPr="00E74864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Rast opstinske ekonomije kroz:</w:t>
      </w:r>
    </w:p>
    <w:p w:rsidR="00CE14A9" w:rsidRPr="00CE14A9" w:rsidRDefault="00CE14A9" w:rsidP="00CE14A9">
      <w:pPr>
        <w:pStyle w:val="Header"/>
        <w:numPr>
          <w:ilvl w:val="0"/>
          <w:numId w:val="10"/>
        </w:numPr>
        <w:tabs>
          <w:tab w:val="clear" w:pos="4320"/>
        </w:tabs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</w:pPr>
      <w:r w:rsidRPr="00CE14A9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lastRenderedPageBreak/>
        <w:t xml:space="preserve"> Poboljšanje obrazovnih standarda i nivoa postignuća (oprema za školu, renoviranje i poboljsanje, stipendije za studije, laboratorije)</w:t>
      </w:r>
    </w:p>
    <w:p w:rsidR="00CD7BD9" w:rsidRPr="00CE14A9" w:rsidRDefault="00CE14A9" w:rsidP="00CE14A9">
      <w:pPr>
        <w:pStyle w:val="Header"/>
        <w:numPr>
          <w:ilvl w:val="0"/>
          <w:numId w:val="10"/>
        </w:numPr>
        <w:tabs>
          <w:tab w:val="clear" w:pos="4320"/>
        </w:tabs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CE14A9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>Direktna podrška sektoru poljoprivrede i stočarstva</w:t>
      </w:r>
    </w:p>
    <w:p w:rsidR="00CD7BD9" w:rsidRDefault="00CD7BD9" w:rsidP="00CD7BD9">
      <w:pPr>
        <w:pStyle w:val="ecxmsonormal"/>
        <w:spacing w:after="0"/>
        <w:ind w:left="502"/>
        <w:jc w:val="both"/>
        <w:rPr>
          <w:rFonts w:ascii="Segoe UI" w:hAnsi="Segoe UI" w:cs="Segoe UI"/>
          <w:color w:val="2A2A2A"/>
          <w:sz w:val="22"/>
          <w:szCs w:val="22"/>
          <w:lang w:val="sq-AL"/>
        </w:rPr>
      </w:pPr>
    </w:p>
    <w:p w:rsidR="00FD047C" w:rsidRPr="00FD047C" w:rsidRDefault="00FD047C" w:rsidP="00FD047C">
      <w:pPr>
        <w:pStyle w:val="HTMLPreformatted"/>
        <w:numPr>
          <w:ilvl w:val="0"/>
          <w:numId w:val="9"/>
        </w:numPr>
        <w:shd w:val="clear" w:color="auto" w:fill="F8F9FA"/>
        <w:spacing w:line="288" w:lineRule="atLeast"/>
        <w:rPr>
          <w:rFonts w:ascii="Times New Roman" w:hAnsi="Times New Roman" w:cs="Times New Roman"/>
          <w:b/>
          <w:color w:val="222222"/>
          <w:sz w:val="24"/>
          <w:szCs w:val="19"/>
        </w:rPr>
      </w:pPr>
      <w:r w:rsidRPr="00FD047C">
        <w:rPr>
          <w:rFonts w:ascii="Times New Roman" w:hAnsi="Times New Roman" w:cs="Times New Roman"/>
          <w:b/>
          <w:color w:val="222222"/>
          <w:sz w:val="24"/>
          <w:szCs w:val="19"/>
        </w:rPr>
        <w:t>Poboljšanje zdravstva i blagostanja građana</w:t>
      </w:r>
    </w:p>
    <w:p w:rsidR="00FD047C" w:rsidRDefault="00FD047C" w:rsidP="00FD047C">
      <w:pPr>
        <w:pStyle w:val="HTMLPreformatted"/>
        <w:shd w:val="clear" w:color="auto" w:fill="F8F9FA"/>
        <w:spacing w:line="288" w:lineRule="atLeast"/>
        <w:ind w:left="720"/>
        <w:rPr>
          <w:rFonts w:ascii="inherit" w:hAnsi="inherit"/>
          <w:color w:val="222222"/>
          <w:sz w:val="19"/>
          <w:szCs w:val="19"/>
        </w:rPr>
      </w:pPr>
    </w:p>
    <w:p w:rsidR="00FD047C" w:rsidRPr="00FD047C" w:rsidRDefault="00FD047C" w:rsidP="00FD047C">
      <w:pPr>
        <w:pStyle w:val="HTMLPreformatted"/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19"/>
        </w:rPr>
      </w:pPr>
      <w:r w:rsidRPr="00FD047C">
        <w:rPr>
          <w:rFonts w:ascii="Times New Roman" w:hAnsi="Times New Roman" w:cs="Times New Roman"/>
          <w:color w:val="222222"/>
          <w:sz w:val="24"/>
          <w:szCs w:val="19"/>
        </w:rPr>
        <w:t>Stvaranje i pomaganje građanima da imaju zdrav i aktivan život u svojoj zajednici:</w:t>
      </w:r>
    </w:p>
    <w:p w:rsidR="00FD047C" w:rsidRPr="00FD047C" w:rsidRDefault="00FD047C" w:rsidP="00FD047C">
      <w:pPr>
        <w:pStyle w:val="HTMLPreformatted"/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19"/>
        </w:rPr>
      </w:pPr>
    </w:p>
    <w:p w:rsidR="00FD047C" w:rsidRPr="00FD047C" w:rsidRDefault="00FD047C" w:rsidP="00FD047C">
      <w:pPr>
        <w:pStyle w:val="HTMLPreformatted"/>
        <w:numPr>
          <w:ilvl w:val="0"/>
          <w:numId w:val="11"/>
        </w:numPr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19"/>
        </w:rPr>
      </w:pPr>
      <w:r w:rsidRPr="00FD047C">
        <w:rPr>
          <w:rFonts w:ascii="Times New Roman" w:hAnsi="Times New Roman" w:cs="Times New Roman"/>
          <w:color w:val="222222"/>
          <w:sz w:val="24"/>
          <w:szCs w:val="19"/>
        </w:rPr>
        <w:t>Socijalna pomoć za porodice u potrebi bez prihoda / niskih prihoda</w:t>
      </w:r>
    </w:p>
    <w:p w:rsidR="00FD047C" w:rsidRPr="00FD047C" w:rsidRDefault="00FD047C" w:rsidP="00FD047C">
      <w:pPr>
        <w:pStyle w:val="HTMLPreformatted"/>
        <w:numPr>
          <w:ilvl w:val="0"/>
          <w:numId w:val="11"/>
        </w:numPr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19"/>
        </w:rPr>
      </w:pPr>
      <w:r w:rsidRPr="00FD047C">
        <w:rPr>
          <w:rFonts w:ascii="Times New Roman" w:hAnsi="Times New Roman" w:cs="Times New Roman"/>
          <w:color w:val="222222"/>
          <w:sz w:val="24"/>
          <w:szCs w:val="19"/>
        </w:rPr>
        <w:t>Poboljšati pružanje zdravstvenih usluga, pružanje mobilne zdravstvene zaštite</w:t>
      </w:r>
    </w:p>
    <w:p w:rsidR="00FD047C" w:rsidRPr="00FD047C" w:rsidRDefault="00FD047C" w:rsidP="00FD047C">
      <w:pPr>
        <w:pStyle w:val="HTMLPreformatted"/>
        <w:numPr>
          <w:ilvl w:val="0"/>
          <w:numId w:val="11"/>
        </w:numPr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19"/>
        </w:rPr>
      </w:pPr>
      <w:r w:rsidRPr="00FD047C">
        <w:rPr>
          <w:rFonts w:ascii="Times New Roman" w:hAnsi="Times New Roman" w:cs="Times New Roman"/>
          <w:color w:val="222222"/>
          <w:sz w:val="24"/>
          <w:szCs w:val="19"/>
        </w:rPr>
        <w:t>Promocija projekata za mlade i kulturu, kao i pružanje novih sportskih terena</w:t>
      </w:r>
    </w:p>
    <w:p w:rsidR="00DF20D6" w:rsidRPr="005964CC" w:rsidRDefault="00DF20D6" w:rsidP="00CD7BD9">
      <w:pPr>
        <w:pStyle w:val="ecxmsonormal"/>
        <w:jc w:val="both"/>
        <w:rPr>
          <w:rFonts w:ascii="Arial" w:hAnsi="Arial" w:cs="Arial"/>
          <w:b/>
          <w:color w:val="222222"/>
          <w:sz w:val="19"/>
          <w:szCs w:val="19"/>
          <w:shd w:val="clear" w:color="auto" w:fill="F8F9FA"/>
        </w:rPr>
      </w:pPr>
      <w:r>
        <w:br/>
      </w:r>
    </w:p>
    <w:p w:rsidR="00DF20D6" w:rsidRPr="005964CC" w:rsidRDefault="00DF20D6" w:rsidP="00DF20D6">
      <w:pPr>
        <w:pStyle w:val="ecxmsonormal"/>
        <w:numPr>
          <w:ilvl w:val="0"/>
          <w:numId w:val="9"/>
        </w:numPr>
        <w:jc w:val="both"/>
        <w:rPr>
          <w:b/>
          <w:color w:val="222222"/>
          <w:shd w:val="clear" w:color="auto" w:fill="F8F9FA"/>
        </w:rPr>
      </w:pPr>
      <w:r w:rsidRPr="005964CC">
        <w:rPr>
          <w:b/>
          <w:color w:val="222222"/>
          <w:shd w:val="clear" w:color="auto" w:fill="F8F9FA"/>
        </w:rPr>
        <w:t>Unapređenje životne sredine i održivosti opštine</w:t>
      </w:r>
    </w:p>
    <w:p w:rsidR="00DF20D6" w:rsidRPr="005964CC" w:rsidRDefault="00DF20D6" w:rsidP="00DF20D6">
      <w:pPr>
        <w:pStyle w:val="HTMLPreformatted"/>
        <w:shd w:val="clear" w:color="auto" w:fill="F8F9FA"/>
        <w:spacing w:line="288" w:lineRule="atLeast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 w:rsidRPr="005964CC">
        <w:rPr>
          <w:rFonts w:ascii="Times New Roman" w:hAnsi="Times New Roman" w:cs="Times New Roman"/>
          <w:color w:val="222222"/>
          <w:sz w:val="24"/>
          <w:szCs w:val="24"/>
        </w:rPr>
        <w:t>Apsorpcija populacije uz povecanje u opštini i istovremeno zastita životne sredine kroz:</w:t>
      </w:r>
    </w:p>
    <w:p w:rsidR="00DF20D6" w:rsidRDefault="00DF20D6" w:rsidP="00DF20D6">
      <w:pPr>
        <w:pStyle w:val="ecxmsonormal"/>
        <w:ind w:left="720"/>
        <w:jc w:val="both"/>
        <w:rPr>
          <w:rFonts w:ascii="Arial" w:hAnsi="Arial" w:cs="Arial"/>
          <w:color w:val="222222"/>
          <w:sz w:val="19"/>
          <w:szCs w:val="19"/>
          <w:shd w:val="clear" w:color="auto" w:fill="F8F9FA"/>
        </w:rPr>
      </w:pPr>
    </w:p>
    <w:p w:rsidR="009A202C" w:rsidRPr="009A202C" w:rsidRDefault="009A202C" w:rsidP="009A202C">
      <w:pPr>
        <w:pStyle w:val="HTMLPreformatted"/>
        <w:numPr>
          <w:ilvl w:val="0"/>
          <w:numId w:val="12"/>
        </w:numPr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02C">
        <w:rPr>
          <w:rFonts w:ascii="Times New Roman" w:hAnsi="Times New Roman" w:cs="Times New Roman"/>
          <w:color w:val="222222"/>
          <w:sz w:val="24"/>
          <w:szCs w:val="24"/>
        </w:rPr>
        <w:t>Poboljšanje i obnova putne infrastrukture (horizontalna i verti</w:t>
      </w:r>
      <w:r>
        <w:rPr>
          <w:rFonts w:ascii="Times New Roman" w:hAnsi="Times New Roman" w:cs="Times New Roman"/>
          <w:color w:val="222222"/>
          <w:sz w:val="24"/>
          <w:szCs w:val="24"/>
        </w:rPr>
        <w:t>kalna signalizacija, javna rasv</w:t>
      </w:r>
      <w:r w:rsidRPr="009A202C">
        <w:rPr>
          <w:rFonts w:ascii="Times New Roman" w:hAnsi="Times New Roman" w:cs="Times New Roman"/>
          <w:color w:val="222222"/>
          <w:sz w:val="24"/>
          <w:szCs w:val="24"/>
        </w:rPr>
        <w:t>eta i numeracija, transport i kanalizacija)</w:t>
      </w:r>
    </w:p>
    <w:p w:rsidR="009A202C" w:rsidRPr="009A202C" w:rsidRDefault="009A202C" w:rsidP="009A202C">
      <w:pPr>
        <w:pStyle w:val="HTMLPreformatted"/>
        <w:numPr>
          <w:ilvl w:val="0"/>
          <w:numId w:val="12"/>
        </w:numPr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02C">
        <w:rPr>
          <w:rFonts w:ascii="Times New Roman" w:hAnsi="Times New Roman" w:cs="Times New Roman"/>
          <w:color w:val="222222"/>
          <w:sz w:val="24"/>
          <w:szCs w:val="24"/>
        </w:rPr>
        <w:t>Poboljšanje ekoloških standarda</w:t>
      </w:r>
    </w:p>
    <w:p w:rsidR="009A202C" w:rsidRPr="009A202C" w:rsidRDefault="009A202C" w:rsidP="009A202C">
      <w:pPr>
        <w:pStyle w:val="HTMLPreformatted"/>
        <w:numPr>
          <w:ilvl w:val="0"/>
          <w:numId w:val="12"/>
        </w:numPr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02C">
        <w:rPr>
          <w:rFonts w:ascii="Times New Roman" w:hAnsi="Times New Roman" w:cs="Times New Roman"/>
          <w:color w:val="222222"/>
          <w:sz w:val="24"/>
          <w:szCs w:val="24"/>
        </w:rPr>
        <w:t>Obezbeđivanje više zelenih površina</w:t>
      </w:r>
    </w:p>
    <w:p w:rsidR="00CD7BD9" w:rsidRPr="00BB0A89" w:rsidRDefault="00CD7BD9" w:rsidP="009A202C">
      <w:pPr>
        <w:pStyle w:val="ecxmsonormal"/>
        <w:tabs>
          <w:tab w:val="left" w:pos="3096"/>
        </w:tabs>
        <w:jc w:val="both"/>
        <w:rPr>
          <w:rFonts w:ascii="Segoe UI" w:hAnsi="Segoe UI" w:cs="Segoe UI"/>
          <w:color w:val="2A2A2A"/>
          <w:sz w:val="22"/>
          <w:szCs w:val="22"/>
        </w:rPr>
      </w:pPr>
    </w:p>
    <w:p w:rsidR="009A202C" w:rsidRP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9A202C">
        <w:rPr>
          <w:rFonts w:ascii="Times New Roman" w:hAnsi="Times New Roman" w:cs="Times New Roman"/>
          <w:color w:val="222222"/>
          <w:sz w:val="24"/>
          <w:szCs w:val="24"/>
        </w:rPr>
        <w:t>Dok je poslednji strateški prioritet opštine da se bavi internom efikasnošću opštinske vlasti i da poboljša pružanje usluga svojim građanima.</w:t>
      </w:r>
      <w:proofErr w:type="gramEnd"/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Default="009A202C" w:rsidP="009A202C">
      <w:pPr>
        <w:pStyle w:val="HTMLPreformatted"/>
        <w:shd w:val="clear" w:color="auto" w:fill="F8F9FA"/>
        <w:spacing w:line="288" w:lineRule="atLeast"/>
        <w:rPr>
          <w:rFonts w:ascii="inherit" w:hAnsi="inherit"/>
          <w:color w:val="222222"/>
          <w:sz w:val="19"/>
          <w:szCs w:val="19"/>
        </w:rPr>
      </w:pPr>
    </w:p>
    <w:p w:rsidR="009A202C" w:rsidRPr="001D5A32" w:rsidRDefault="009A202C" w:rsidP="001D5A32">
      <w:pPr>
        <w:pStyle w:val="HTMLPreformatted"/>
        <w:numPr>
          <w:ilvl w:val="0"/>
          <w:numId w:val="9"/>
        </w:numPr>
        <w:shd w:val="clear" w:color="auto" w:fill="F8F9FA"/>
        <w:spacing w:line="288" w:lineRule="atLeast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b/>
          <w:color w:val="222222"/>
          <w:sz w:val="24"/>
          <w:szCs w:val="24"/>
        </w:rPr>
        <w:t>Stvaranje opštinske vlade koja pruža efikasne usluge i odgovara na zahteve građana</w:t>
      </w:r>
    </w:p>
    <w:p w:rsidR="009A202C" w:rsidRPr="001D5A32" w:rsidRDefault="009A202C" w:rsidP="001D5A32">
      <w:pPr>
        <w:pStyle w:val="HTMLPreformatted"/>
        <w:shd w:val="clear" w:color="auto" w:fill="F8F9FA"/>
        <w:spacing w:line="288" w:lineRule="atLeast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A202C" w:rsidRPr="001D5A32" w:rsidRDefault="009A202C" w:rsidP="001D5A32">
      <w:pPr>
        <w:pStyle w:val="ecxmsonormal"/>
        <w:jc w:val="both"/>
        <w:rPr>
          <w:color w:val="000000"/>
          <w:lang w:val="sq-AL"/>
        </w:rPr>
      </w:pPr>
    </w:p>
    <w:p w:rsidR="009A202C" w:rsidRPr="001D5A32" w:rsidRDefault="009A202C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color w:val="222222"/>
          <w:sz w:val="24"/>
          <w:szCs w:val="24"/>
        </w:rPr>
        <w:t>Poboljšanje opštinskih usluga prema građanima kroz fokusiranje njihovog najbližeg i lakšeg pristupa administraciji putem:</w:t>
      </w:r>
    </w:p>
    <w:p w:rsidR="009A202C" w:rsidRPr="001D5A32" w:rsidRDefault="009A202C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A202C" w:rsidRPr="001D5A32" w:rsidRDefault="009A202C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Izgradnje i rekonstrukcije opštinskih kancelarija (civilnog stanja) </w:t>
      </w:r>
      <w:proofErr w:type="gramStart"/>
      <w:r w:rsidRPr="001D5A32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gramEnd"/>
      <w:r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najbližim mestima u naseljima, u svrhu pružanja usluga</w:t>
      </w:r>
    </w:p>
    <w:p w:rsidR="009A202C" w:rsidRPr="001D5A32" w:rsidRDefault="009A202C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A202C" w:rsidRPr="001D5A32" w:rsidRDefault="009A202C" w:rsidP="001D5A3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Četiri prioritetna područja opštine i njeni ciljevi za srednjoročni period 2020-2022 </w:t>
      </w:r>
      <w:proofErr w:type="gramStart"/>
      <w:r w:rsidRPr="001D5A32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1D5A32">
        <w:rPr>
          <w:rFonts w:ascii="Times New Roman" w:hAnsi="Times New Roman" w:cs="Times New Roman"/>
          <w:color w:val="222222"/>
          <w:sz w:val="24"/>
          <w:szCs w:val="24"/>
        </w:rPr>
        <w:t xml:space="preserve"> biti popraćeni kombinacijom inputa i troškova u pet ekonomskih kategorija koje se mogu pratiti i izveštavati prema dostignućima.</w:t>
      </w:r>
    </w:p>
    <w:p w:rsidR="009A202C" w:rsidRDefault="009A202C" w:rsidP="00CD7BD9">
      <w:pPr>
        <w:pStyle w:val="ecxmsonormal"/>
        <w:jc w:val="both"/>
        <w:rPr>
          <w:rFonts w:ascii="Segoe UI" w:hAnsi="Segoe UI" w:cs="Segoe UI"/>
          <w:color w:val="000000"/>
          <w:sz w:val="22"/>
          <w:szCs w:val="22"/>
          <w:lang w:val="sq-AL"/>
        </w:rPr>
      </w:pPr>
    </w:p>
    <w:p w:rsidR="00CD7BD9" w:rsidRDefault="00CD7BD9" w:rsidP="00CD7BD9">
      <w:pPr>
        <w:rPr>
          <w:rFonts w:cs="Segoe UI"/>
          <w:b/>
          <w:color w:val="FF0000"/>
          <w:sz w:val="32"/>
          <w:szCs w:val="32"/>
          <w:lang w:val="sq-AL"/>
        </w:rPr>
      </w:pPr>
      <w:r w:rsidRPr="00E22D90">
        <w:rPr>
          <w:rFonts w:cs="Segoe UI"/>
          <w:b/>
          <w:color w:val="FF0000"/>
          <w:sz w:val="32"/>
          <w:szCs w:val="32"/>
          <w:lang w:val="sq-AL"/>
        </w:rPr>
        <w:t xml:space="preserve">III. </w:t>
      </w:r>
      <w:r w:rsidR="008A04F3">
        <w:rPr>
          <w:rFonts w:cs="Segoe UI"/>
          <w:b/>
          <w:color w:val="FF0000"/>
          <w:sz w:val="32"/>
          <w:szCs w:val="32"/>
          <w:lang w:val="sq-AL"/>
        </w:rPr>
        <w:t xml:space="preserve">Opstinska </w:t>
      </w:r>
      <w:r w:rsidR="00FC695F">
        <w:rPr>
          <w:rFonts w:cs="Segoe UI"/>
          <w:b/>
          <w:color w:val="FF0000"/>
          <w:sz w:val="32"/>
          <w:szCs w:val="32"/>
          <w:lang w:val="sq-AL"/>
        </w:rPr>
        <w:t>fiskaln</w:t>
      </w:r>
      <w:r w:rsidR="008A04F3">
        <w:rPr>
          <w:rFonts w:cs="Segoe UI"/>
          <w:b/>
          <w:color w:val="FF0000"/>
          <w:sz w:val="32"/>
          <w:szCs w:val="32"/>
          <w:lang w:val="sq-AL"/>
        </w:rPr>
        <w:t>a korniza</w:t>
      </w:r>
      <w:r w:rsidRPr="00E22D90">
        <w:rPr>
          <w:rFonts w:cs="Segoe UI"/>
          <w:b/>
          <w:color w:val="FF0000"/>
          <w:sz w:val="32"/>
          <w:szCs w:val="32"/>
          <w:lang w:val="sq-AL"/>
        </w:rPr>
        <w:t xml:space="preserve">  </w:t>
      </w:r>
    </w:p>
    <w:p w:rsidR="002D37C0" w:rsidRPr="00234D3F" w:rsidRDefault="002D37C0" w:rsidP="00234D3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>
        <w:br/>
      </w:r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>3</w:t>
      </w:r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.1 Iako opština direktno ne usmerava makroekonomsku politiku (to je nadležnost centralne vlade), sveukupno ekonomsko okruženje utiče </w:t>
      </w:r>
      <w:proofErr w:type="gramStart"/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na</w:t>
      </w:r>
      <w:proofErr w:type="gramEnd"/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fiskalne izglede opštine i kao takvo će se </w:t>
      </w:r>
      <w:r w:rsidR="00451BE0"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tretirati na sledeći način, pogledaj</w:t>
      </w:r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tabelu ispod. </w:t>
      </w:r>
    </w:p>
    <w:p w:rsidR="002D37C0" w:rsidRPr="00234D3F" w:rsidRDefault="002D37C0" w:rsidP="00234D3F">
      <w:pPr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Srednjoročni budžetski okvir opštine je u skladu </w:t>
      </w:r>
      <w:proofErr w:type="gramStart"/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sa</w:t>
      </w:r>
      <w:proofErr w:type="gramEnd"/>
      <w:r w:rsidRPr="00234D3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makroekonomskim okvirom Kosova i prema Srednjoročnom okviru rashoda (SOR) 2020-2022 koga je izradila Vlada Kosova.</w:t>
      </w:r>
    </w:p>
    <w:p w:rsidR="00CD7BD9" w:rsidRPr="00234D3F" w:rsidRDefault="009F4088" w:rsidP="00234D3F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</w:pPr>
      <w:r w:rsidRPr="00234D3F">
        <w:rPr>
          <w:rFonts w:ascii="Times New Roman" w:hAnsi="Times New Roman"/>
          <w:b w:val="0"/>
          <w:i w:val="0"/>
          <w:sz w:val="24"/>
          <w:szCs w:val="24"/>
        </w:rPr>
        <w:br/>
      </w:r>
      <w:r w:rsidRPr="00234D3F">
        <w:rPr>
          <w:rFonts w:ascii="Times New Roman" w:hAnsi="Times New Roman"/>
          <w:b w:val="0"/>
          <w:i w:val="0"/>
          <w:color w:val="222222"/>
          <w:sz w:val="24"/>
          <w:szCs w:val="24"/>
          <w:shd w:val="clear" w:color="auto" w:fill="F8F9FA"/>
        </w:rPr>
        <w:t>Komponente makroekonomske politike kao što je bruto domaći proizvod, inflacija i demografija treba uzeti u obzir. Srednjoročni okvir rashoda Vlade Kosova za period 2020-2022, zasnovan na istorijskim podacima i nedavnim ekonomskim kretanjima, naglašava činjenicu da će doći do pozitivnog učinka ekonomskog rasta u narednim godinama, tačnije u periodu 2020-2022. 2,00% u 2021 2,00% i 2022 predviđa se 1,40%.</w:t>
      </w:r>
    </w:p>
    <w:p w:rsidR="009F4088" w:rsidRPr="00234D3F" w:rsidRDefault="009F4088" w:rsidP="00234D3F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  <w:highlight w:val="yellow"/>
        </w:rPr>
      </w:pPr>
    </w:p>
    <w:p w:rsidR="009F4088" w:rsidRPr="00234D3F" w:rsidRDefault="009F4088" w:rsidP="00234D3F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34D3F">
        <w:rPr>
          <w:rFonts w:ascii="Times New Roman" w:hAnsi="Times New Roman" w:cs="Times New Roman"/>
          <w:color w:val="222222"/>
          <w:sz w:val="24"/>
          <w:szCs w:val="24"/>
        </w:rPr>
        <w:t xml:space="preserve">Naravno, ekonomski rast se pretvara u otvaranje novih radnih </w:t>
      </w:r>
      <w:proofErr w:type="gramStart"/>
      <w:r w:rsidRPr="00234D3F">
        <w:rPr>
          <w:rFonts w:ascii="Times New Roman" w:hAnsi="Times New Roman" w:cs="Times New Roman"/>
          <w:color w:val="222222"/>
          <w:sz w:val="24"/>
          <w:szCs w:val="24"/>
        </w:rPr>
        <w:t>mesta</w:t>
      </w:r>
      <w:proofErr w:type="gramEnd"/>
      <w:r w:rsidRPr="00234D3F">
        <w:rPr>
          <w:rFonts w:ascii="Times New Roman" w:hAnsi="Times New Roman" w:cs="Times New Roman"/>
          <w:color w:val="222222"/>
          <w:sz w:val="24"/>
          <w:szCs w:val="24"/>
        </w:rPr>
        <w:t xml:space="preserve"> i ublažavanje nezaposlenosti u opstini, koja se u srednjoročnom periodu smanjuje za 3%, od ukupnog nivoa nezaposlenosti koji se procenjuje visokim.</w:t>
      </w:r>
    </w:p>
    <w:p w:rsidR="009F4088" w:rsidRPr="00234D3F" w:rsidRDefault="009F4088" w:rsidP="00234D3F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F4088" w:rsidRPr="00234D3F" w:rsidRDefault="009F4088" w:rsidP="00234D3F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34D3F">
        <w:rPr>
          <w:rFonts w:ascii="Times New Roman" w:hAnsi="Times New Roman" w:cs="Times New Roman"/>
          <w:color w:val="222222"/>
          <w:sz w:val="24"/>
          <w:szCs w:val="24"/>
        </w:rPr>
        <w:t xml:space="preserve">Opština </w:t>
      </w:r>
      <w:proofErr w:type="gramStart"/>
      <w:r w:rsidRPr="00234D3F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234D3F">
        <w:rPr>
          <w:rFonts w:ascii="Times New Roman" w:hAnsi="Times New Roman" w:cs="Times New Roman"/>
          <w:color w:val="222222"/>
          <w:sz w:val="24"/>
          <w:szCs w:val="24"/>
        </w:rPr>
        <w:t>, zauzvrat, usvojiti relevantne zakone kako bi se stvorilo bolje okruženje za privatni sektor i povećali njihovi prihodi, a time i povećanje prihoda opštinskih budžeta.</w:t>
      </w:r>
    </w:p>
    <w:p w:rsidR="009F4088" w:rsidRDefault="009F4088" w:rsidP="00AB2165">
      <w:pPr>
        <w:pStyle w:val="Caption"/>
        <w:keepNext/>
      </w:pPr>
    </w:p>
    <w:p w:rsidR="00E45C1E" w:rsidRDefault="00E45C1E" w:rsidP="00E45C1E"/>
    <w:p w:rsidR="00E45C1E" w:rsidRDefault="00E45C1E" w:rsidP="00E45C1E"/>
    <w:p w:rsidR="00AB2165" w:rsidRPr="00172204" w:rsidRDefault="00AB2165" w:rsidP="00AB2165">
      <w:pPr>
        <w:pStyle w:val="Caption"/>
        <w:keepNext/>
      </w:pPr>
      <w:r w:rsidRPr="00172204">
        <w:t xml:space="preserve">Tabela </w:t>
      </w:r>
      <w:fldSimple w:instr=" SEQ Tabela \* ARABIC ">
        <w:r w:rsidR="00A50312" w:rsidRPr="00172204">
          <w:rPr>
            <w:noProof/>
          </w:rPr>
          <w:t>1</w:t>
        </w:r>
      </w:fldSimple>
      <w:r w:rsidR="00E45C1E">
        <w:t>: Ekonomski indikatori opstine</w:t>
      </w:r>
    </w:p>
    <w:tbl>
      <w:tblPr>
        <w:tblW w:w="9591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2F2F2"/>
        <w:tblLook w:val="00A0" w:firstRow="1" w:lastRow="0" w:firstColumn="1" w:lastColumn="0" w:noHBand="0" w:noVBand="0"/>
      </w:tblPr>
      <w:tblGrid>
        <w:gridCol w:w="2192"/>
        <w:gridCol w:w="1676"/>
        <w:gridCol w:w="1704"/>
        <w:gridCol w:w="1826"/>
        <w:gridCol w:w="2193"/>
      </w:tblGrid>
      <w:tr w:rsidR="00CD7BD9" w:rsidRPr="006D2709" w:rsidTr="00827C50">
        <w:trPr>
          <w:trHeight w:val="194"/>
        </w:trPr>
        <w:tc>
          <w:tcPr>
            <w:tcW w:w="2192" w:type="dxa"/>
            <w:shd w:val="clear" w:color="auto" w:fill="F2F2F2"/>
          </w:tcPr>
          <w:p w:rsidR="00CD7BD9" w:rsidRPr="00B31D26" w:rsidRDefault="007269BD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Opis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      </w:t>
            </w:r>
          </w:p>
        </w:tc>
        <w:tc>
          <w:tcPr>
            <w:tcW w:w="1676" w:type="dxa"/>
            <w:shd w:val="clear" w:color="auto" w:fill="F2F2F2"/>
          </w:tcPr>
          <w:p w:rsidR="00CD7BD9" w:rsidRPr="00B31D26" w:rsidRDefault="00CD7BD9" w:rsidP="008361FE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201</w:t>
            </w:r>
            <w:r w:rsidR="00DC722E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9</w:t>
            </w:r>
          </w:p>
        </w:tc>
        <w:tc>
          <w:tcPr>
            <w:tcW w:w="1704" w:type="dxa"/>
            <w:shd w:val="clear" w:color="auto" w:fill="F2F2F2"/>
          </w:tcPr>
          <w:p w:rsidR="00CD7BD9" w:rsidRPr="00B31D26" w:rsidRDefault="00DC722E" w:rsidP="00E94928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2020</w:t>
            </w:r>
          </w:p>
        </w:tc>
        <w:tc>
          <w:tcPr>
            <w:tcW w:w="1826" w:type="dxa"/>
            <w:shd w:val="clear" w:color="auto" w:fill="F2F2F2"/>
          </w:tcPr>
          <w:p w:rsidR="00CD7BD9" w:rsidRPr="00B31D26" w:rsidRDefault="00DC722E" w:rsidP="00365873">
            <w:pPr>
              <w:pStyle w:val="Header"/>
              <w:tabs>
                <w:tab w:val="clear" w:pos="4320"/>
              </w:tabs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       2021</w:t>
            </w:r>
          </w:p>
        </w:tc>
        <w:tc>
          <w:tcPr>
            <w:tcW w:w="2193" w:type="dxa"/>
            <w:shd w:val="clear" w:color="auto" w:fill="F2F2F2"/>
          </w:tcPr>
          <w:p w:rsidR="00CD7BD9" w:rsidRPr="00B31D26" w:rsidRDefault="00E94928" w:rsidP="0058396B">
            <w:pPr>
              <w:pStyle w:val="Header"/>
              <w:tabs>
                <w:tab w:val="clear" w:pos="4320"/>
              </w:tabs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202</w:t>
            </w:r>
            <w:r w:rsidR="00DC722E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2</w:t>
            </w:r>
            <w:r w:rsidR="002F750B">
              <w:rPr>
                <w:rFonts w:ascii="Times New Roman" w:hAnsi="Times New Roman"/>
                <w:b w:val="0"/>
                <w:i w:val="0"/>
                <w:iCs/>
                <w:sz w:val="20"/>
              </w:rPr>
              <w:t>(procena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)</w:t>
            </w:r>
          </w:p>
        </w:tc>
      </w:tr>
      <w:tr w:rsidR="00CD7BD9" w:rsidRPr="006D2709" w:rsidTr="00827C50">
        <w:trPr>
          <w:trHeight w:val="398"/>
        </w:trPr>
        <w:tc>
          <w:tcPr>
            <w:tcW w:w="2192" w:type="dxa"/>
            <w:shd w:val="clear" w:color="auto" w:fill="F2F2F2"/>
          </w:tcPr>
          <w:p w:rsidR="00CD7BD9" w:rsidRPr="00B31D26" w:rsidRDefault="007269BD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i w:val="0"/>
                <w:iCs/>
                <w:sz w:val="20"/>
              </w:rPr>
              <w:t>Makroekonomski indikatori na Kosovu</w:t>
            </w:r>
            <w:r w:rsidR="00CD7BD9" w:rsidRPr="00B31D26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</w:p>
        </w:tc>
        <w:tc>
          <w:tcPr>
            <w:tcW w:w="7399" w:type="dxa"/>
            <w:gridSpan w:val="4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</w:p>
        </w:tc>
      </w:tr>
      <w:tr w:rsidR="00CD7BD9" w:rsidRPr="006D2709" w:rsidTr="00827C50">
        <w:trPr>
          <w:trHeight w:val="194"/>
        </w:trPr>
        <w:tc>
          <w:tcPr>
            <w:tcW w:w="2192" w:type="dxa"/>
            <w:shd w:val="clear" w:color="auto" w:fill="F2F2F2"/>
          </w:tcPr>
          <w:p w:rsidR="00CD7BD9" w:rsidRPr="00B31D26" w:rsidRDefault="002115D3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0"/>
              </w:rPr>
              <w:t>Realni rast BDP</w:t>
            </w:r>
            <w:r w:rsidR="0071510F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u 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%</w:t>
            </w:r>
          </w:p>
        </w:tc>
        <w:tc>
          <w:tcPr>
            <w:tcW w:w="1676" w:type="dxa"/>
            <w:shd w:val="clear" w:color="auto" w:fill="F2F2F2"/>
          </w:tcPr>
          <w:p w:rsidR="00CD7BD9" w:rsidRPr="00B31D26" w:rsidRDefault="00116336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4.30</w:t>
            </w:r>
          </w:p>
        </w:tc>
        <w:tc>
          <w:tcPr>
            <w:tcW w:w="1704" w:type="dxa"/>
            <w:shd w:val="clear" w:color="auto" w:fill="F2F2F2"/>
          </w:tcPr>
          <w:p w:rsidR="00CD7BD9" w:rsidRPr="00B31D26" w:rsidRDefault="00DC722E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2</w:t>
            </w:r>
            <w:r w:rsidR="00116336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.00</w:t>
            </w:r>
          </w:p>
        </w:tc>
        <w:tc>
          <w:tcPr>
            <w:tcW w:w="1826" w:type="dxa"/>
            <w:shd w:val="clear" w:color="auto" w:fill="F2F2F2"/>
          </w:tcPr>
          <w:p w:rsidR="00CD7BD9" w:rsidRPr="00B31D26" w:rsidRDefault="00DC722E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2</w:t>
            </w:r>
            <w:r w:rsidR="00116336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.00</w:t>
            </w:r>
          </w:p>
        </w:tc>
        <w:tc>
          <w:tcPr>
            <w:tcW w:w="2193" w:type="dxa"/>
            <w:shd w:val="clear" w:color="auto" w:fill="F2F2F2"/>
          </w:tcPr>
          <w:p w:rsidR="00CD7BD9" w:rsidRPr="00B31D26" w:rsidRDefault="00DC722E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1.40</w:t>
            </w:r>
          </w:p>
        </w:tc>
      </w:tr>
      <w:tr w:rsidR="00CD7BD9" w:rsidRPr="006D2709" w:rsidTr="00827C50">
        <w:trPr>
          <w:trHeight w:val="398"/>
        </w:trPr>
        <w:tc>
          <w:tcPr>
            <w:tcW w:w="2192" w:type="dxa"/>
            <w:shd w:val="clear" w:color="auto" w:fill="F2F2F2"/>
          </w:tcPr>
          <w:p w:rsidR="00CD7BD9" w:rsidRPr="00B31D26" w:rsidRDefault="00305B68" w:rsidP="00305B68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Inflacija u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%</w:t>
            </w:r>
          </w:p>
        </w:tc>
        <w:tc>
          <w:tcPr>
            <w:tcW w:w="1676" w:type="dxa"/>
            <w:shd w:val="clear" w:color="auto" w:fill="F2F2F2"/>
          </w:tcPr>
          <w:p w:rsidR="00CD7BD9" w:rsidRPr="00B31D26" w:rsidRDefault="00116336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.2</w:t>
            </w: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0</w:t>
            </w:r>
          </w:p>
        </w:tc>
        <w:tc>
          <w:tcPr>
            <w:tcW w:w="1704" w:type="dxa"/>
            <w:shd w:val="clear" w:color="auto" w:fill="F2F2F2"/>
          </w:tcPr>
          <w:p w:rsidR="00CD7BD9" w:rsidRPr="00B31D26" w:rsidRDefault="00116336" w:rsidP="00DC722E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1.</w:t>
            </w:r>
            <w:r w:rsidR="00DC722E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0</w:t>
            </w: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0</w:t>
            </w:r>
          </w:p>
        </w:tc>
        <w:tc>
          <w:tcPr>
            <w:tcW w:w="1826" w:type="dxa"/>
            <w:shd w:val="clear" w:color="auto" w:fill="F2F2F2"/>
          </w:tcPr>
          <w:p w:rsidR="00CD7BD9" w:rsidRPr="00B31D26" w:rsidRDefault="00DC722E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1.00</w:t>
            </w:r>
          </w:p>
        </w:tc>
        <w:tc>
          <w:tcPr>
            <w:tcW w:w="2193" w:type="dxa"/>
            <w:shd w:val="clear" w:color="auto" w:fill="F2F2F2"/>
          </w:tcPr>
          <w:p w:rsidR="00CD7BD9" w:rsidRPr="00B31D26" w:rsidRDefault="00DC722E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1.00</w:t>
            </w:r>
          </w:p>
        </w:tc>
      </w:tr>
      <w:tr w:rsidR="00CD7BD9" w:rsidRPr="006D2709" w:rsidTr="00827C50">
        <w:trPr>
          <w:trHeight w:val="398"/>
        </w:trPr>
        <w:tc>
          <w:tcPr>
            <w:tcW w:w="2192" w:type="dxa"/>
            <w:shd w:val="clear" w:color="auto" w:fill="F2F2F2"/>
          </w:tcPr>
          <w:p w:rsidR="00CD7BD9" w:rsidRPr="00B31D26" w:rsidRDefault="00C64157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i w:val="0"/>
                <w:iCs/>
                <w:sz w:val="20"/>
              </w:rPr>
              <w:t>Ekonomski indikatori opstine</w:t>
            </w:r>
            <w:r w:rsidR="00CD7BD9" w:rsidRPr="00B31D26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</w:p>
        </w:tc>
        <w:tc>
          <w:tcPr>
            <w:tcW w:w="7399" w:type="dxa"/>
            <w:gridSpan w:val="4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</w:p>
        </w:tc>
      </w:tr>
      <w:tr w:rsidR="00CD7BD9" w:rsidRPr="006D2709" w:rsidTr="00D43254">
        <w:trPr>
          <w:trHeight w:val="268"/>
        </w:trPr>
        <w:tc>
          <w:tcPr>
            <w:tcW w:w="2192" w:type="dxa"/>
            <w:shd w:val="clear" w:color="auto" w:fill="F2F2F2"/>
          </w:tcPr>
          <w:p w:rsidR="00CD7BD9" w:rsidRPr="00B31D26" w:rsidRDefault="00C64157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Stanovnistvo opstine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</w:t>
            </w:r>
          </w:p>
        </w:tc>
        <w:tc>
          <w:tcPr>
            <w:tcW w:w="1676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90.178</w:t>
            </w:r>
          </w:p>
        </w:tc>
        <w:tc>
          <w:tcPr>
            <w:tcW w:w="1704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90.178</w:t>
            </w:r>
          </w:p>
        </w:tc>
        <w:tc>
          <w:tcPr>
            <w:tcW w:w="1826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90.178</w:t>
            </w:r>
          </w:p>
        </w:tc>
        <w:tc>
          <w:tcPr>
            <w:tcW w:w="2193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90178</w:t>
            </w:r>
          </w:p>
        </w:tc>
      </w:tr>
      <w:tr w:rsidR="00CD7BD9" w:rsidRPr="008C5F2F" w:rsidTr="00827C50">
        <w:trPr>
          <w:trHeight w:val="398"/>
        </w:trPr>
        <w:tc>
          <w:tcPr>
            <w:tcW w:w="2192" w:type="dxa"/>
            <w:shd w:val="clear" w:color="auto" w:fill="F2F2F2"/>
          </w:tcPr>
          <w:p w:rsidR="00CD7BD9" w:rsidRPr="00B31D26" w:rsidRDefault="00C64157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lastRenderedPageBreak/>
              <w:t>Broj registrovanih biznisa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</w:t>
            </w:r>
          </w:p>
        </w:tc>
        <w:tc>
          <w:tcPr>
            <w:tcW w:w="1676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3.100</w:t>
            </w:r>
          </w:p>
        </w:tc>
        <w:tc>
          <w:tcPr>
            <w:tcW w:w="1704" w:type="dxa"/>
            <w:shd w:val="clear" w:color="auto" w:fill="F2F2F2"/>
          </w:tcPr>
          <w:p w:rsidR="00CD7BD9" w:rsidRPr="00B31D26" w:rsidRDefault="008C5F2F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3000</w:t>
            </w:r>
          </w:p>
        </w:tc>
        <w:tc>
          <w:tcPr>
            <w:tcW w:w="1826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3200</w:t>
            </w:r>
          </w:p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  <w:highlight w:val="yellow"/>
              </w:rPr>
            </w:pPr>
          </w:p>
        </w:tc>
        <w:tc>
          <w:tcPr>
            <w:tcW w:w="2193" w:type="dxa"/>
            <w:shd w:val="clear" w:color="auto" w:fill="F2F2F2"/>
          </w:tcPr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3</w:t>
            </w:r>
            <w:r w:rsidR="008C5F2F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3</w:t>
            </w: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00</w:t>
            </w:r>
          </w:p>
          <w:p w:rsidR="00CD7BD9" w:rsidRPr="00B31D26" w:rsidRDefault="00CD7BD9" w:rsidP="00365873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</w:p>
        </w:tc>
      </w:tr>
      <w:tr w:rsidR="00CD7BD9" w:rsidRPr="006D2709" w:rsidTr="00827C50">
        <w:trPr>
          <w:trHeight w:val="398"/>
        </w:trPr>
        <w:tc>
          <w:tcPr>
            <w:tcW w:w="2192" w:type="dxa"/>
            <w:shd w:val="clear" w:color="auto" w:fill="F2F2F2"/>
          </w:tcPr>
          <w:p w:rsidR="00CD7BD9" w:rsidRPr="00B31D26" w:rsidRDefault="00C64157" w:rsidP="00365873">
            <w:pPr>
              <w:pStyle w:val="Header"/>
              <w:tabs>
                <w:tab w:val="clear" w:pos="4320"/>
              </w:tabs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Broj ucenika</w:t>
            </w:r>
            <w:r w:rsidR="00CD7BD9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</w:t>
            </w:r>
          </w:p>
        </w:tc>
        <w:tc>
          <w:tcPr>
            <w:tcW w:w="1676" w:type="dxa"/>
            <w:shd w:val="clear" w:color="auto" w:fill="F2F2F2"/>
          </w:tcPr>
          <w:p w:rsidR="00CD7BD9" w:rsidRPr="00B31D26" w:rsidRDefault="00E94928" w:rsidP="00C439D7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195</w:t>
            </w:r>
            <w:r w:rsidR="00C439D7"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69</w:t>
            </w:r>
          </w:p>
        </w:tc>
        <w:tc>
          <w:tcPr>
            <w:tcW w:w="1704" w:type="dxa"/>
            <w:shd w:val="clear" w:color="auto" w:fill="F2F2F2"/>
          </w:tcPr>
          <w:p w:rsidR="00CD7BD9" w:rsidRPr="00B31D26" w:rsidRDefault="00517ECB" w:rsidP="00C439D7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18651</w:t>
            </w:r>
          </w:p>
        </w:tc>
        <w:tc>
          <w:tcPr>
            <w:tcW w:w="1826" w:type="dxa"/>
            <w:shd w:val="clear" w:color="auto" w:fill="F2F2F2"/>
          </w:tcPr>
          <w:p w:rsidR="00CD7BD9" w:rsidRPr="00B31D26" w:rsidRDefault="00517ECB" w:rsidP="00C439D7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18421</w:t>
            </w:r>
          </w:p>
        </w:tc>
        <w:tc>
          <w:tcPr>
            <w:tcW w:w="2193" w:type="dxa"/>
            <w:shd w:val="clear" w:color="auto" w:fill="F2F2F2"/>
          </w:tcPr>
          <w:p w:rsidR="00CD7BD9" w:rsidRPr="00B31D26" w:rsidRDefault="00517ECB" w:rsidP="00C439D7">
            <w:pPr>
              <w:pStyle w:val="Header"/>
              <w:tabs>
                <w:tab w:val="clear" w:pos="4320"/>
              </w:tabs>
              <w:jc w:val="righ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31D26">
              <w:rPr>
                <w:rFonts w:ascii="Times New Roman" w:hAnsi="Times New Roman"/>
                <w:b w:val="0"/>
                <w:i w:val="0"/>
                <w:iCs/>
                <w:sz w:val="20"/>
              </w:rPr>
              <w:t>18200</w:t>
            </w:r>
          </w:p>
        </w:tc>
      </w:tr>
    </w:tbl>
    <w:p w:rsidR="00D43254" w:rsidRPr="007154A9" w:rsidRDefault="0079333F" w:rsidP="007154A9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7154A9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Izvor: Srednjoročni okvir rashoda, Vlada Kosova, 2020-2022</w:t>
      </w:r>
    </w:p>
    <w:p w:rsidR="0079333F" w:rsidRPr="007154A9" w:rsidRDefault="0079333F" w:rsidP="007154A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CD7BD9" w:rsidRPr="007154A9" w:rsidRDefault="0079333F" w:rsidP="007154A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7154A9">
        <w:rPr>
          <w:rFonts w:ascii="Times New Roman" w:hAnsi="Times New Roman"/>
          <w:b/>
          <w:sz w:val="24"/>
          <w:szCs w:val="24"/>
          <w:lang w:val="de-DE"/>
        </w:rPr>
        <w:t>3.2 Tendencija opstinskih prihoda i srednjorocna predvidjanja</w:t>
      </w:r>
      <w:r w:rsidR="00CA254C" w:rsidRPr="007154A9">
        <w:rPr>
          <w:rFonts w:ascii="Times New Roman" w:hAnsi="Times New Roman"/>
          <w:b/>
          <w:sz w:val="24"/>
          <w:szCs w:val="24"/>
          <w:lang w:val="de-DE"/>
        </w:rPr>
        <w:t xml:space="preserve"> 2020</w:t>
      </w:r>
      <w:r w:rsidR="00CD7BD9" w:rsidRPr="007154A9">
        <w:rPr>
          <w:rFonts w:ascii="Times New Roman" w:hAnsi="Times New Roman"/>
          <w:b/>
          <w:sz w:val="24"/>
          <w:szCs w:val="24"/>
          <w:lang w:val="de-DE"/>
        </w:rPr>
        <w:t>-20</w:t>
      </w:r>
      <w:r w:rsidR="0058396B" w:rsidRPr="007154A9">
        <w:rPr>
          <w:rFonts w:ascii="Times New Roman" w:hAnsi="Times New Roman"/>
          <w:b/>
          <w:sz w:val="24"/>
          <w:szCs w:val="24"/>
          <w:lang w:val="de-DE"/>
        </w:rPr>
        <w:t>2</w:t>
      </w:r>
      <w:r w:rsidR="00CA254C" w:rsidRPr="007154A9">
        <w:rPr>
          <w:rFonts w:ascii="Times New Roman" w:hAnsi="Times New Roman"/>
          <w:b/>
          <w:sz w:val="24"/>
          <w:szCs w:val="24"/>
          <w:lang w:val="de-DE"/>
        </w:rPr>
        <w:t>2</w:t>
      </w:r>
    </w:p>
    <w:p w:rsidR="00577300" w:rsidRPr="007154A9" w:rsidRDefault="00577300" w:rsidP="007154A9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54A9">
        <w:rPr>
          <w:rFonts w:ascii="Times New Roman" w:hAnsi="Times New Roman" w:cs="Times New Roman"/>
          <w:color w:val="222222"/>
          <w:sz w:val="24"/>
          <w:szCs w:val="24"/>
        </w:rPr>
        <w:t xml:space="preserve">Prihodi opštine Gnjilane - vladini grantovi, planirani za predstojeći srednjoročni period, </w:t>
      </w:r>
      <w:proofErr w:type="gramStart"/>
      <w:r w:rsidRPr="007154A9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7154A9">
        <w:rPr>
          <w:rFonts w:ascii="Times New Roman" w:hAnsi="Times New Roman" w:cs="Times New Roman"/>
          <w:color w:val="222222"/>
          <w:sz w:val="24"/>
          <w:szCs w:val="24"/>
        </w:rPr>
        <w:t xml:space="preserve"> imati veoma malo promena iz godine u godinu, sa izuzetkom opšteg granta koji će beležiti blagi porast. Dok </w:t>
      </w:r>
      <w:proofErr w:type="gramStart"/>
      <w:r w:rsidRPr="007154A9">
        <w:rPr>
          <w:rFonts w:ascii="Times New Roman" w:hAnsi="Times New Roman" w:cs="Times New Roman"/>
          <w:color w:val="222222"/>
          <w:sz w:val="24"/>
          <w:szCs w:val="24"/>
        </w:rPr>
        <w:t>ce</w:t>
      </w:r>
      <w:proofErr w:type="gramEnd"/>
      <w:r w:rsidRPr="007154A9">
        <w:rPr>
          <w:rFonts w:ascii="Times New Roman" w:hAnsi="Times New Roman" w:cs="Times New Roman"/>
          <w:color w:val="222222"/>
          <w:sz w:val="24"/>
          <w:szCs w:val="24"/>
        </w:rPr>
        <w:t xml:space="preserve"> plan prihoda od sopstvenih izvora opštine biti ambiciozniji, što je značajno povećanje u odnosu na prethodni period 2019-2022. Sve ovo je dalje potaknuto fiskalnim pritiskom koji centralna vlada vrši prema opštinama za veće sopstvene prihode, </w:t>
      </w:r>
      <w:proofErr w:type="gramStart"/>
      <w:r w:rsidRPr="007154A9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gramEnd"/>
      <w:r w:rsidRPr="007154A9">
        <w:rPr>
          <w:rFonts w:ascii="Times New Roman" w:hAnsi="Times New Roman" w:cs="Times New Roman"/>
          <w:color w:val="222222"/>
          <w:sz w:val="24"/>
          <w:szCs w:val="24"/>
        </w:rPr>
        <w:t xml:space="preserve"> osnovu prvog kruga MF koji je izdat za ovaj budžetski ciklus.</w:t>
      </w:r>
    </w:p>
    <w:p w:rsidR="00562AC7" w:rsidRPr="007154A9" w:rsidRDefault="00562AC7" w:rsidP="007154A9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7154A9">
        <w:rPr>
          <w:rFonts w:ascii="Times New Roman" w:hAnsi="Times New Roman"/>
          <w:sz w:val="24"/>
          <w:szCs w:val="24"/>
        </w:rPr>
        <w:br/>
      </w:r>
      <w:r w:rsidRPr="007154A9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Srednjoročno planiranje budžeta </w:t>
      </w:r>
      <w:proofErr w:type="gramStart"/>
      <w:r w:rsidRPr="007154A9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na</w:t>
      </w:r>
      <w:proofErr w:type="gramEnd"/>
      <w:r w:rsidRPr="007154A9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osnovu izvora prihoda prikazano je u tabeli 2. </w:t>
      </w:r>
    </w:p>
    <w:p w:rsidR="00AB2165" w:rsidRPr="007154A9" w:rsidRDefault="00562AC7" w:rsidP="007154A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7154A9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Tabela 2: Poređenje budžeta prema finansijskim sredstvima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3"/>
        <w:gridCol w:w="1483"/>
        <w:gridCol w:w="1563"/>
        <w:gridCol w:w="1593"/>
        <w:gridCol w:w="1860"/>
      </w:tblGrid>
      <w:tr w:rsidR="003769A3">
        <w:trPr>
          <w:trHeight w:val="348"/>
        </w:trPr>
        <w:tc>
          <w:tcPr>
            <w:tcW w:w="30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3769A3" w:rsidRDefault="00562AC7" w:rsidP="0056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BUDZETSKA OGRANICENJA</w:t>
            </w:r>
            <w:r w:rsidR="003769A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56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56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Opsti grant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8,292,892.00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9,273,087.00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9,790,309.00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10,379,174.00</w:t>
            </w: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Grant</w:t>
            </w:r>
            <w:r w:rsidR="00562AC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zdravstvo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2,705,340.00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3,036,082.00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3,157,525.00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3,283,826.00</w:t>
            </w: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Grant</w:t>
            </w:r>
            <w:r w:rsidR="00562AC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obrazovanje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9,828,244.00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10,699,634.00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10,753,133.00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10,806,898.00</w:t>
            </w: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56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Sopstveni prihodi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4,465,884.00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4,399,396.00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4,676,871.00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4,954,619.00</w:t>
            </w: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56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Dodatni grant za plate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36,000.00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9A3">
        <w:trPr>
          <w:trHeight w:val="49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9D4ADF" w:rsidP="009D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Zajam u zdravstvu- robe i usluge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216,427.00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9D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Finansiranje teatara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100,886.00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9A3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9D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="003769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25,544,787.00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27,509,085.00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28,377,838.00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A3" w:rsidRDefault="00376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29,424,517.00</w:t>
            </w:r>
          </w:p>
        </w:tc>
      </w:tr>
    </w:tbl>
    <w:p w:rsidR="00AB2165" w:rsidRDefault="00AB2165" w:rsidP="00AB2165">
      <w:pPr>
        <w:rPr>
          <w:color w:val="C00000"/>
          <w:highlight w:val="yellow"/>
        </w:rPr>
      </w:pPr>
    </w:p>
    <w:p w:rsidR="00C9770F" w:rsidRPr="007F62FF" w:rsidRDefault="00C9770F" w:rsidP="007F62F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7F62FF">
        <w:rPr>
          <w:rFonts w:ascii="Times New Roman" w:hAnsi="Times New Roman"/>
          <w:sz w:val="24"/>
          <w:szCs w:val="24"/>
        </w:rPr>
        <w:br/>
      </w:r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3.2.1 Opštinski sopstveni prihodi</w:t>
      </w:r>
    </w:p>
    <w:p w:rsidR="00C9770F" w:rsidRPr="007F62FF" w:rsidRDefault="00C9770F" w:rsidP="007F62FF">
      <w:pPr>
        <w:jc w:val="both"/>
        <w:rPr>
          <w:rFonts w:ascii="Times New Roman" w:hAnsi="Times New Roman"/>
          <w:color w:val="C00000"/>
          <w:sz w:val="24"/>
          <w:szCs w:val="24"/>
          <w:highlight w:val="yellow"/>
        </w:rPr>
      </w:pPr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Iz poreskih prihoda, opština naplaćuje samo porez na imovinu, dok su svi ostali neporeski prihodi, uglavnom porez na usluge i razne naknade, koji se utvrđuju propisom koji opština </w:t>
      </w:r>
      <w:proofErr w:type="gramStart"/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donosi  svake</w:t>
      </w:r>
      <w:proofErr w:type="gramEnd"/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godine. </w:t>
      </w:r>
      <w:proofErr w:type="gramStart"/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Određivanje troškova za poreze i naknade vrši se u meri u kojoj je pokriven trošak pružanja određene usluge.</w:t>
      </w:r>
      <w:proofErr w:type="gramEnd"/>
    </w:p>
    <w:p w:rsidR="002D1A2C" w:rsidRPr="007F62FF" w:rsidRDefault="002D1A2C" w:rsidP="007F62F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7F62FF">
        <w:rPr>
          <w:rFonts w:ascii="Times New Roman" w:hAnsi="Times New Roman"/>
          <w:sz w:val="24"/>
          <w:szCs w:val="24"/>
        </w:rPr>
        <w:br/>
      </w:r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U planiranju prihoda </w:t>
      </w:r>
      <w:proofErr w:type="gramStart"/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od</w:t>
      </w:r>
      <w:proofErr w:type="gramEnd"/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2020-2022 godine, indirektni prihodi (saobraćajne kazne, sudske kazne i prihodi od </w:t>
      </w:r>
      <w:r w:rsidR="002115D3" w:rsidRPr="002115D3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AOI</w:t>
      </w:r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) nisu planirani jer je to zatraženo odlukom ministra finansija br. 01-813 od 22.05. 2019. </w:t>
      </w:r>
    </w:p>
    <w:p w:rsidR="00AB2165" w:rsidRPr="007F62FF" w:rsidRDefault="002D1A2C" w:rsidP="007F62FF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7F62FF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Tabela 3: Planiranje sopstvenih prihoda</w:t>
      </w:r>
    </w:p>
    <w:tbl>
      <w:tblPr>
        <w:tblW w:w="103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483"/>
        <w:gridCol w:w="1718"/>
        <w:gridCol w:w="1419"/>
        <w:gridCol w:w="1418"/>
        <w:gridCol w:w="1546"/>
      </w:tblGrid>
      <w:tr w:rsidR="00187F60" w:rsidTr="00BA7A46">
        <w:trPr>
          <w:trHeight w:val="49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68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68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Realizacija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68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Planiranje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 xml:space="preserve"> 2019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68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Planiranje 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68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Procena 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68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Procena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B17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OJU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130,219.50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140,000.00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140,000.00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B17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kirije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114,800.99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102,000.00 </w:t>
            </w:r>
          </w:p>
        </w:tc>
      </w:tr>
      <w:tr w:rsidR="00187F60" w:rsidTr="00BA7A46">
        <w:trPr>
          <w:trHeight w:val="49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B17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ekonomskog razvoja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77,651.00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70,000.00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60,000.00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8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gradjevinskih dozvola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778,729.20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1,120,000.00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1,120,000.00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1,120,000.00</w:t>
            </w:r>
          </w:p>
        </w:tc>
      </w:tr>
      <w:tr w:rsidR="00187F60" w:rsidTr="00BA7A46">
        <w:trPr>
          <w:trHeight w:val="49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8F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javnih usluga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101,324.38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180,000.00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80,835.00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94,851.00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117,691.00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93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geodezije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225,462.25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230,000.00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93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kulture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18,437.00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18,000.00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20,000.00 </w:t>
            </w:r>
          </w:p>
        </w:tc>
      </w:tr>
      <w:tr w:rsidR="00187F60" w:rsidTr="00BA7A46">
        <w:trPr>
          <w:trHeight w:val="49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457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registrovanja automobila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194,150.15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180,000.00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190,000.00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190,000.00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poreza na imovinu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1,412,106.35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1,440,000.00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1,609,193.00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1,657,469.00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1,707,193.00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poreza na zemljiste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426,368.00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639,551.00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852,735.00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Saobracajne kazne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669,769.00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400,000.00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Sudske kazne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132,474.00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141,884.00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poljoprivrede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8,297.00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poljoprivrede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>-A.P.K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21,402.62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19,000.00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obrazovanja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193,824.68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260,000.00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245,000.00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245,000.00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245,000.00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zdravstva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104,436.02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120,000.00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120,000.00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120,000.00 </w:t>
            </w:r>
          </w:p>
        </w:tc>
      </w:tr>
      <w:tr w:rsidR="00187F60" w:rsidTr="00BA7A46">
        <w:trPr>
          <w:trHeight w:val="49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Uprave za zdravstvo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550.00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CSR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105.50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inspekcije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50,000.00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50,000.00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50,000.00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50,000.00 </w:t>
            </w:r>
          </w:p>
        </w:tc>
      </w:tr>
      <w:tr w:rsidR="00187F60" w:rsidTr="00BA7A46">
        <w:trPr>
          <w:trHeight w:val="24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20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Opstinski prihodi</w:t>
            </w:r>
            <w:r w:rsidR="00187F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4,183,739.64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4,465,884.00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4,399,396.00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4,676,871.00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F60" w:rsidRDefault="00187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4,954,619.00 </w:t>
            </w:r>
          </w:p>
        </w:tc>
      </w:tr>
    </w:tbl>
    <w:p w:rsidR="00B33F61" w:rsidRDefault="00B33F61" w:rsidP="00B33F61">
      <w:pPr>
        <w:rPr>
          <w:highlight w:val="yellow"/>
        </w:rPr>
      </w:pPr>
    </w:p>
    <w:p w:rsidR="00187F60" w:rsidRDefault="00187F60" w:rsidP="00B33F61">
      <w:pPr>
        <w:rPr>
          <w:highlight w:val="yellow"/>
        </w:rPr>
      </w:pPr>
    </w:p>
    <w:p w:rsidR="00187F60" w:rsidRDefault="00187F60" w:rsidP="00B33F61">
      <w:pPr>
        <w:rPr>
          <w:highlight w:val="yellow"/>
        </w:rPr>
      </w:pPr>
    </w:p>
    <w:p w:rsidR="00187F60" w:rsidRDefault="00187F60" w:rsidP="00B33F61">
      <w:pPr>
        <w:rPr>
          <w:highlight w:val="yellow"/>
        </w:rPr>
      </w:pPr>
    </w:p>
    <w:p w:rsidR="00187F60" w:rsidRDefault="00187F60" w:rsidP="00B33F61">
      <w:pPr>
        <w:rPr>
          <w:highlight w:val="yellow"/>
        </w:rPr>
      </w:pPr>
    </w:p>
    <w:p w:rsidR="00187F60" w:rsidRDefault="00187F60" w:rsidP="00B33F61">
      <w:pPr>
        <w:rPr>
          <w:highlight w:val="yellow"/>
        </w:rPr>
      </w:pPr>
    </w:p>
    <w:p w:rsidR="00187F60" w:rsidRDefault="00187F60" w:rsidP="00B33F61">
      <w:pPr>
        <w:rPr>
          <w:highlight w:val="yellow"/>
        </w:rPr>
      </w:pPr>
    </w:p>
    <w:p w:rsidR="00187F60" w:rsidRPr="006D2709" w:rsidRDefault="00641EC9" w:rsidP="00B33F61">
      <w:pPr>
        <w:rPr>
          <w:highlight w:val="yellow"/>
        </w:rPr>
      </w:pPr>
      <w:r>
        <w:rPr>
          <w:noProof/>
          <w:lang w:val="sq-AL" w:eastAsia="sq-AL"/>
        </w:rPr>
        <w:lastRenderedPageBreak/>
        <w:drawing>
          <wp:inline distT="0" distB="0" distL="0" distR="0">
            <wp:extent cx="5943600" cy="350964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56AA" w:rsidRPr="001D36AE" w:rsidRDefault="004556AA" w:rsidP="001D36AE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3.3 </w:t>
      </w:r>
      <w:r w:rsidR="004C65E7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Vanjski</w:t>
      </w:r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donatori (međunarodni) </w:t>
      </w:r>
    </w:p>
    <w:p w:rsidR="004556AA" w:rsidRPr="001D36AE" w:rsidRDefault="004556AA" w:rsidP="001D36AE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proofErr w:type="gramStart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Ukupna vrednost eksternih donatorskih sredstava i učešća građana u provedbi različitih projekata za opstinu tokom 2018.</w:t>
      </w:r>
      <w:proofErr w:type="gramEnd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godine</w:t>
      </w:r>
      <w:proofErr w:type="gramEnd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iznosi 888.044,95 € (prema tabeli ispod), što predstavlja 1,33% ukupnog budžeta opštine.</w:t>
      </w:r>
    </w:p>
    <w:p w:rsidR="000141A6" w:rsidRPr="001D36AE" w:rsidRDefault="004556AA" w:rsidP="001D36AE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Tabela 4: Finansiranje </w:t>
      </w:r>
      <w:proofErr w:type="gramStart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od</w:t>
      </w:r>
      <w:proofErr w:type="gramEnd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strane donatora 2018</w:t>
      </w:r>
    </w:p>
    <w:tbl>
      <w:tblPr>
        <w:tblW w:w="0" w:type="auto"/>
        <w:tblInd w:w="9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1"/>
        <w:gridCol w:w="1331"/>
      </w:tblGrid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Particip</w:t>
            </w:r>
            <w:r w:rsidR="004556AA"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acija gradjana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89,280.50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Save the Children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11,240.88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4556AA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Danska vlada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0.02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4556AA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EU-Evropska unija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500,421.45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UNDP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5,070.10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UNMIK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17,836.00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4556AA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Japanska vlada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59,188.00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4556AA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Svicarska vlada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205,008.00 </w:t>
            </w:r>
          </w:p>
        </w:tc>
      </w:tr>
      <w:tr w:rsidR="000141A6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A6" w:rsidRPr="001D36AE" w:rsidRDefault="000141A6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888,044.95 </w:t>
            </w:r>
          </w:p>
        </w:tc>
      </w:tr>
      <w:tr w:rsidR="00D22DD0" w:rsidRPr="001D36AE" w:rsidTr="00227A4F">
        <w:trPr>
          <w:trHeight w:val="247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2DD0" w:rsidRPr="001D36AE" w:rsidRDefault="00D22DD0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D0" w:rsidRPr="001D36AE" w:rsidRDefault="00D22DD0" w:rsidP="001D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2DD0" w:rsidRPr="001D36AE" w:rsidRDefault="00D22DD0" w:rsidP="001D36AE">
      <w:pPr>
        <w:jc w:val="both"/>
        <w:rPr>
          <w:rFonts w:ascii="Times New Roman" w:hAnsi="Times New Roman"/>
          <w:sz w:val="24"/>
          <w:szCs w:val="24"/>
        </w:rPr>
      </w:pPr>
    </w:p>
    <w:p w:rsidR="00D22DD0" w:rsidRPr="001D36AE" w:rsidRDefault="00D22DD0" w:rsidP="001D36AE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D36AE">
        <w:rPr>
          <w:rFonts w:ascii="Times New Roman" w:hAnsi="Times New Roman" w:cs="Times New Roman"/>
          <w:color w:val="222222"/>
          <w:sz w:val="24"/>
          <w:szCs w:val="24"/>
        </w:rPr>
        <w:t xml:space="preserve">Opština ne planira nikakve </w:t>
      </w:r>
      <w:r w:rsidR="007613A3">
        <w:rPr>
          <w:rFonts w:ascii="Times New Roman" w:hAnsi="Times New Roman" w:cs="Times New Roman"/>
          <w:color w:val="222222"/>
          <w:sz w:val="24"/>
          <w:szCs w:val="24"/>
        </w:rPr>
        <w:t xml:space="preserve">vanjske </w:t>
      </w:r>
      <w:r w:rsidRPr="001D36AE">
        <w:rPr>
          <w:rFonts w:ascii="Times New Roman" w:hAnsi="Times New Roman" w:cs="Times New Roman"/>
          <w:color w:val="222222"/>
          <w:sz w:val="24"/>
          <w:szCs w:val="24"/>
        </w:rPr>
        <w:t xml:space="preserve">donacije za predstojeći srednjoročni period, jer </w:t>
      </w:r>
      <w:proofErr w:type="gramStart"/>
      <w:r w:rsidRPr="001D36AE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gramEnd"/>
      <w:r w:rsidRPr="001D36AE">
        <w:rPr>
          <w:rFonts w:ascii="Times New Roman" w:hAnsi="Times New Roman" w:cs="Times New Roman"/>
          <w:color w:val="222222"/>
          <w:sz w:val="24"/>
          <w:szCs w:val="24"/>
        </w:rPr>
        <w:t xml:space="preserve"> njima nije prethodno potpisan sporazum.</w:t>
      </w:r>
    </w:p>
    <w:p w:rsidR="00D22DD0" w:rsidRPr="001D36AE" w:rsidRDefault="00D22DD0" w:rsidP="001D36AE">
      <w:pPr>
        <w:jc w:val="both"/>
        <w:rPr>
          <w:rFonts w:ascii="Times New Roman" w:hAnsi="Times New Roman"/>
          <w:sz w:val="24"/>
          <w:szCs w:val="24"/>
        </w:rPr>
      </w:pPr>
    </w:p>
    <w:p w:rsidR="00CA254C" w:rsidRPr="001D36AE" w:rsidRDefault="00CA254C" w:rsidP="001D36AE">
      <w:pPr>
        <w:jc w:val="both"/>
        <w:rPr>
          <w:rFonts w:ascii="Times New Roman" w:hAnsi="Times New Roman"/>
          <w:sz w:val="24"/>
          <w:szCs w:val="24"/>
        </w:rPr>
      </w:pPr>
    </w:p>
    <w:p w:rsidR="00CB6ED1" w:rsidRPr="001D36AE" w:rsidRDefault="00CB6ED1" w:rsidP="001D36AE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1D36AE">
        <w:rPr>
          <w:rFonts w:ascii="Times New Roman" w:hAnsi="Times New Roman"/>
          <w:sz w:val="24"/>
          <w:szCs w:val="24"/>
        </w:rPr>
        <w:lastRenderedPageBreak/>
        <w:br/>
      </w:r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3.4 Tendencija opstinskih rashoda i njihova srednjoročna prognoza 2019-2022</w:t>
      </w:r>
    </w:p>
    <w:p w:rsidR="00CB6ED1" w:rsidRPr="001D36AE" w:rsidRDefault="00CB6ED1" w:rsidP="001D36AE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Opstinski rashodi u predstojećem srednjoročnom periodu imaju tendenciju da se povećavaju, kao što je prikazano </w:t>
      </w:r>
      <w:proofErr w:type="gramStart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na</w:t>
      </w:r>
      <w:proofErr w:type="gramEnd"/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sledećem grafikonu, to povećanje je posledica povećanja procena za kapitalne rashode. </w:t>
      </w:r>
    </w:p>
    <w:p w:rsidR="0030060B" w:rsidRPr="001D36AE" w:rsidRDefault="004C732B" w:rsidP="001D36AE">
      <w:pPr>
        <w:jc w:val="both"/>
        <w:rPr>
          <w:rFonts w:ascii="Times New Roman" w:hAnsi="Times New Roman"/>
          <w:sz w:val="24"/>
          <w:szCs w:val="24"/>
        </w:rPr>
      </w:pPr>
      <w:r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Grafikon: Tendencija</w:t>
      </w:r>
      <w:r w:rsidR="00CB6ED1" w:rsidRPr="001D36AE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agregatnih rashoda 2019-2022</w:t>
      </w:r>
    </w:p>
    <w:p w:rsidR="0030060B" w:rsidRPr="006D2709" w:rsidRDefault="000E0843" w:rsidP="00730756">
      <w:pPr>
        <w:rPr>
          <w:rFonts w:cs="Segoe UI"/>
          <w:highlight w:val="yellow"/>
        </w:rPr>
      </w:pPr>
      <w:r>
        <w:rPr>
          <w:noProof/>
          <w:lang w:val="sq-AL" w:eastAsia="sq-AL"/>
        </w:rPr>
        <w:drawing>
          <wp:inline distT="0" distB="0" distL="0" distR="0">
            <wp:extent cx="5943600" cy="4109085"/>
            <wp:effectExtent l="0" t="0" r="0" b="571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4341" w:rsidRPr="00C4760D" w:rsidRDefault="00F74341" w:rsidP="00730756">
      <w:pPr>
        <w:spacing w:after="120" w:line="264" w:lineRule="auto"/>
        <w:jc w:val="both"/>
        <w:rPr>
          <w:rFonts w:ascii="Times New Roman" w:eastAsia="Times New Roman" w:hAnsi="Times New Roman"/>
          <w:sz w:val="20"/>
          <w:szCs w:val="20"/>
          <w:lang w:val="de-DE"/>
        </w:rPr>
      </w:pPr>
      <w:r w:rsidRPr="00C4760D">
        <w:rPr>
          <w:rFonts w:ascii="Times New Roman" w:eastAsia="Times New Roman" w:hAnsi="Times New Roman"/>
          <w:sz w:val="20"/>
          <w:szCs w:val="20"/>
          <w:lang w:val="de-DE"/>
        </w:rPr>
        <w:t>Plate i dnevnice    Robe i usluge  Opstinski troskovi Subvencije</w:t>
      </w:r>
      <w:r w:rsidR="003451C9" w:rsidRPr="00C4760D">
        <w:rPr>
          <w:rFonts w:ascii="Times New Roman" w:eastAsia="Times New Roman" w:hAnsi="Times New Roman"/>
          <w:sz w:val="20"/>
          <w:szCs w:val="20"/>
          <w:lang w:val="de-DE"/>
        </w:rPr>
        <w:t xml:space="preserve">  </w:t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 xml:space="preserve"> Kapitalni troskovi  </w:t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  <w:t xml:space="preserve">         Planiranje 2019</w:t>
      </w:r>
    </w:p>
    <w:p w:rsidR="00F74341" w:rsidRPr="00C4760D" w:rsidRDefault="00F74341" w:rsidP="00730756">
      <w:pPr>
        <w:spacing w:after="120" w:line="264" w:lineRule="auto"/>
        <w:jc w:val="both"/>
        <w:rPr>
          <w:rFonts w:ascii="Times New Roman" w:eastAsia="Times New Roman" w:hAnsi="Times New Roman"/>
          <w:sz w:val="20"/>
          <w:szCs w:val="20"/>
          <w:lang w:val="de-DE"/>
        </w:rPr>
      </w:pP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  <w:t xml:space="preserve">         Planiranje 2020</w:t>
      </w:r>
    </w:p>
    <w:p w:rsidR="00F74341" w:rsidRPr="00C4760D" w:rsidRDefault="00F74341" w:rsidP="00730756">
      <w:pPr>
        <w:spacing w:after="120" w:line="264" w:lineRule="auto"/>
        <w:jc w:val="both"/>
        <w:rPr>
          <w:rFonts w:ascii="Times New Roman" w:eastAsia="Times New Roman" w:hAnsi="Times New Roman"/>
          <w:sz w:val="20"/>
          <w:szCs w:val="20"/>
          <w:lang w:val="de-DE"/>
        </w:rPr>
      </w:pP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  <w:t xml:space="preserve">         Procena 2021</w:t>
      </w:r>
    </w:p>
    <w:p w:rsidR="00F74341" w:rsidRPr="00C4760D" w:rsidRDefault="00F74341" w:rsidP="00730756">
      <w:pPr>
        <w:spacing w:after="120" w:line="264" w:lineRule="auto"/>
        <w:jc w:val="both"/>
        <w:rPr>
          <w:rFonts w:ascii="Times New Roman" w:eastAsia="Times New Roman" w:hAnsi="Times New Roman"/>
          <w:sz w:val="20"/>
          <w:szCs w:val="20"/>
          <w:lang w:val="de-DE"/>
        </w:rPr>
      </w:pP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</w:r>
      <w:r w:rsidRPr="00C4760D">
        <w:rPr>
          <w:rFonts w:ascii="Times New Roman" w:eastAsia="Times New Roman" w:hAnsi="Times New Roman"/>
          <w:sz w:val="20"/>
          <w:szCs w:val="20"/>
          <w:lang w:val="de-DE"/>
        </w:rPr>
        <w:tab/>
        <w:t xml:space="preserve">         Procena 2022</w:t>
      </w:r>
    </w:p>
    <w:p w:rsidR="00C4760D" w:rsidRPr="00372B30" w:rsidRDefault="00C4760D" w:rsidP="00372B3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2B30">
        <w:rPr>
          <w:rFonts w:ascii="Times New Roman" w:hAnsi="Times New Roman" w:cs="Times New Roman"/>
          <w:b/>
          <w:color w:val="222222"/>
          <w:sz w:val="24"/>
          <w:szCs w:val="24"/>
        </w:rPr>
        <w:t>Plate i dnevnice -</w:t>
      </w:r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U 2020.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godini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, u odnosu na 2019.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godinu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>, očekuje se da će ova kategorija rashoda porasti za oko 18.73% kao rezultat Zakona br. 06 / L-111 o platama u javnom sektoru. Ova kategorija u opštini Gnjilane predstavlja najveći deo plata u ukupnim opštinskim rashodima od 66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,78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% predviđenih budžetom do 2020.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godine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,do 63,06% predviđenih najranijim procenama ovog okvira u 2022.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godini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. Takvo smanjenje je rezultat pozitivnih ekonomskih prognoza koje su uticale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rast drugih ekonomskih kategorija, posebno kapitalnih rashoda. Trend plata, prema sporazumu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MMF-om i raspoloživim resursima, biće u skladu sa ukupnim ekonomskim razvojem u zemlji. Izazov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biti rešavanje novih uticajnih politika u ovoj kategoriji, kao što su radno iskustvo i zdravstveno osiguranje.</w:t>
      </w:r>
    </w:p>
    <w:p w:rsidR="00C4760D" w:rsidRPr="00372B30" w:rsidRDefault="00C4760D" w:rsidP="00372B3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C4760D" w:rsidRPr="00372B30" w:rsidRDefault="00C4760D" w:rsidP="00372B30">
      <w:pPr>
        <w:spacing w:after="12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</w:p>
    <w:p w:rsidR="004028B8" w:rsidRPr="00372B30" w:rsidRDefault="004028B8" w:rsidP="00372B3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2B30">
        <w:rPr>
          <w:rFonts w:ascii="Times New Roman" w:hAnsi="Times New Roman" w:cs="Times New Roman"/>
          <w:b/>
          <w:color w:val="222222"/>
          <w:sz w:val="24"/>
          <w:szCs w:val="24"/>
        </w:rPr>
        <w:t>Robe i usluge-</w:t>
      </w:r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Očekuje se da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ova kategorija potrošnje u 2020.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godini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imati smanjenje od 3,85% u odnosu na 2019. Ukupno gledajući, udeo izdataka za robu i usluge u ukupnoj potrošnji očekuje se da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u 2020.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godini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iznositi 12,97% uz pad na 12,57 u 2021 i  2022 ispod 12,13%, kao rezultat budžetske orijentacije u kapitalnim izdacima.</w:t>
      </w:r>
    </w:p>
    <w:p w:rsidR="004028B8" w:rsidRPr="00372B30" w:rsidRDefault="004028B8" w:rsidP="00372B3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Konkretno, projekti reklasificirani kao robe i usluge koje </w:t>
      </w:r>
      <w:proofErr w:type="gramStart"/>
      <w:r w:rsidRPr="00372B30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gramEnd"/>
      <w:r w:rsidRPr="00372B30">
        <w:rPr>
          <w:rFonts w:ascii="Times New Roman" w:hAnsi="Times New Roman" w:cs="Times New Roman"/>
          <w:color w:val="222222"/>
          <w:sz w:val="24"/>
          <w:szCs w:val="24"/>
        </w:rPr>
        <w:t xml:space="preserve"> se nuditi za javne usluge i obrazovanje imaju sledeće troškove:</w:t>
      </w:r>
    </w:p>
    <w:p w:rsidR="004028B8" w:rsidRPr="00372B30" w:rsidRDefault="004028B8" w:rsidP="00372B3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4028B8" w:rsidRPr="00372B30" w:rsidRDefault="004028B8" w:rsidP="00372B3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2B30">
        <w:rPr>
          <w:rFonts w:ascii="Times New Roman" w:hAnsi="Times New Roman" w:cs="Times New Roman"/>
          <w:color w:val="222222"/>
          <w:sz w:val="24"/>
          <w:szCs w:val="24"/>
        </w:rPr>
        <w:t>Tabela 5: Rashodi za usluge javne infrastrukture</w:t>
      </w:r>
    </w:p>
    <w:p w:rsidR="002F7D81" w:rsidRPr="00E46894" w:rsidRDefault="002F7D81" w:rsidP="002F7D81">
      <w:pPr>
        <w:pStyle w:val="Caption"/>
        <w:keepNext/>
        <w:rPr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2F2F2"/>
        <w:tblLook w:val="04A0" w:firstRow="1" w:lastRow="0" w:firstColumn="1" w:lastColumn="0" w:noHBand="0" w:noVBand="1"/>
      </w:tblPr>
      <w:tblGrid>
        <w:gridCol w:w="3168"/>
        <w:gridCol w:w="2520"/>
      </w:tblGrid>
      <w:tr w:rsidR="00730756" w:rsidRPr="00E46894" w:rsidTr="007B295A">
        <w:tc>
          <w:tcPr>
            <w:tcW w:w="3168" w:type="dxa"/>
            <w:shd w:val="clear" w:color="auto" w:fill="F2F2F2"/>
          </w:tcPr>
          <w:p w:rsidR="00730756" w:rsidRPr="00E46894" w:rsidRDefault="008622F1" w:rsidP="007B295A">
            <w:pPr>
              <w:spacing w:after="0" w:line="264" w:lineRule="auto"/>
              <w:jc w:val="both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Usluga</w:t>
            </w:r>
          </w:p>
        </w:tc>
        <w:tc>
          <w:tcPr>
            <w:tcW w:w="2520" w:type="dxa"/>
            <w:shd w:val="clear" w:color="auto" w:fill="F2F2F2"/>
          </w:tcPr>
          <w:p w:rsidR="00730756" w:rsidRPr="00E46894" w:rsidRDefault="008622F1" w:rsidP="007B295A">
            <w:pPr>
              <w:spacing w:after="0" w:line="264" w:lineRule="auto"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Budzet</w:t>
            </w:r>
          </w:p>
        </w:tc>
      </w:tr>
      <w:tr w:rsidR="00730756" w:rsidRPr="00E46894" w:rsidTr="007B295A">
        <w:tc>
          <w:tcPr>
            <w:tcW w:w="3168" w:type="dxa"/>
            <w:shd w:val="clear" w:color="auto" w:fill="F2F2F2"/>
          </w:tcPr>
          <w:p w:rsidR="00730756" w:rsidRPr="00E46894" w:rsidRDefault="00201671" w:rsidP="007B295A">
            <w:pPr>
              <w:spacing w:after="0" w:line="264" w:lineRule="auto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Ciscenje grada</w:t>
            </w:r>
          </w:p>
        </w:tc>
        <w:tc>
          <w:tcPr>
            <w:tcW w:w="2520" w:type="dxa"/>
            <w:shd w:val="clear" w:color="auto" w:fill="F2F2F2"/>
          </w:tcPr>
          <w:p w:rsidR="00730756" w:rsidRPr="00E46894" w:rsidRDefault="00730756" w:rsidP="00E46894">
            <w:pPr>
              <w:spacing w:after="0" w:line="264" w:lineRule="auto"/>
              <w:jc w:val="center"/>
              <w:rPr>
                <w:rFonts w:cs="Segoe UI"/>
                <w:sz w:val="20"/>
                <w:szCs w:val="20"/>
              </w:rPr>
            </w:pPr>
            <w:r w:rsidRPr="00E46894">
              <w:rPr>
                <w:rFonts w:cs="Segoe UI"/>
                <w:sz w:val="20"/>
                <w:szCs w:val="20"/>
              </w:rPr>
              <w:t>2</w:t>
            </w:r>
            <w:r w:rsidR="00E46894" w:rsidRPr="00E46894">
              <w:rPr>
                <w:rFonts w:cs="Segoe UI"/>
                <w:sz w:val="20"/>
                <w:szCs w:val="20"/>
              </w:rPr>
              <w:t>6</w:t>
            </w:r>
            <w:r w:rsidRPr="00E46894">
              <w:rPr>
                <w:rFonts w:cs="Segoe UI"/>
                <w:sz w:val="20"/>
                <w:szCs w:val="20"/>
              </w:rPr>
              <w:t>0.000</w:t>
            </w:r>
          </w:p>
        </w:tc>
      </w:tr>
      <w:tr w:rsidR="00730756" w:rsidRPr="00E46894" w:rsidTr="007B295A">
        <w:tc>
          <w:tcPr>
            <w:tcW w:w="3168" w:type="dxa"/>
            <w:shd w:val="clear" w:color="auto" w:fill="F2F2F2"/>
          </w:tcPr>
          <w:p w:rsidR="00730756" w:rsidRPr="00E46894" w:rsidRDefault="00201671" w:rsidP="007B295A">
            <w:pPr>
              <w:spacing w:after="0" w:line="264" w:lineRule="auto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Troskovi pogreba</w:t>
            </w:r>
          </w:p>
        </w:tc>
        <w:tc>
          <w:tcPr>
            <w:tcW w:w="2520" w:type="dxa"/>
            <w:shd w:val="clear" w:color="auto" w:fill="F2F2F2"/>
          </w:tcPr>
          <w:p w:rsidR="00730756" w:rsidRPr="00E46894" w:rsidRDefault="00E83C66" w:rsidP="001C3D4E">
            <w:pPr>
              <w:spacing w:after="0" w:line="264" w:lineRule="auto"/>
              <w:jc w:val="center"/>
              <w:rPr>
                <w:rFonts w:cs="Segoe UI"/>
                <w:sz w:val="20"/>
                <w:szCs w:val="20"/>
              </w:rPr>
            </w:pPr>
            <w:r w:rsidRPr="00E46894">
              <w:rPr>
                <w:rFonts w:cs="Segoe UI"/>
                <w:sz w:val="20"/>
                <w:szCs w:val="20"/>
              </w:rPr>
              <w:t>160</w:t>
            </w:r>
            <w:r w:rsidR="00730756" w:rsidRPr="00E46894">
              <w:rPr>
                <w:rFonts w:cs="Segoe UI"/>
                <w:sz w:val="20"/>
                <w:szCs w:val="20"/>
              </w:rPr>
              <w:t>.000</w:t>
            </w:r>
          </w:p>
        </w:tc>
      </w:tr>
      <w:tr w:rsidR="00730756" w:rsidRPr="00E46894" w:rsidTr="007B295A">
        <w:tc>
          <w:tcPr>
            <w:tcW w:w="3168" w:type="dxa"/>
            <w:shd w:val="clear" w:color="auto" w:fill="F2F2F2"/>
          </w:tcPr>
          <w:p w:rsidR="00730756" w:rsidRPr="00E46894" w:rsidRDefault="00201671" w:rsidP="007B295A">
            <w:pPr>
              <w:spacing w:after="0" w:line="264" w:lineRule="auto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Odrzavanje puteva</w:t>
            </w:r>
          </w:p>
        </w:tc>
        <w:tc>
          <w:tcPr>
            <w:tcW w:w="2520" w:type="dxa"/>
            <w:shd w:val="clear" w:color="auto" w:fill="F2F2F2"/>
          </w:tcPr>
          <w:p w:rsidR="00730756" w:rsidRPr="00E46894" w:rsidRDefault="00E83C66" w:rsidP="002A799D">
            <w:pPr>
              <w:spacing w:after="0" w:line="264" w:lineRule="auto"/>
              <w:jc w:val="center"/>
              <w:rPr>
                <w:rFonts w:cs="Segoe UI"/>
                <w:sz w:val="20"/>
                <w:szCs w:val="20"/>
              </w:rPr>
            </w:pPr>
            <w:r w:rsidRPr="00E46894">
              <w:rPr>
                <w:rFonts w:cs="Segoe UI"/>
                <w:sz w:val="20"/>
                <w:szCs w:val="20"/>
              </w:rPr>
              <w:t>1</w:t>
            </w:r>
            <w:r w:rsidR="002A799D" w:rsidRPr="00E46894">
              <w:rPr>
                <w:rFonts w:cs="Segoe UI"/>
                <w:sz w:val="20"/>
                <w:szCs w:val="20"/>
              </w:rPr>
              <w:t>3</w:t>
            </w:r>
            <w:r w:rsidRPr="00E46894">
              <w:rPr>
                <w:rFonts w:cs="Segoe UI"/>
                <w:sz w:val="20"/>
                <w:szCs w:val="20"/>
              </w:rPr>
              <w:t>0</w:t>
            </w:r>
            <w:r w:rsidR="00730756" w:rsidRPr="00E46894">
              <w:rPr>
                <w:rFonts w:cs="Segoe UI"/>
                <w:sz w:val="20"/>
                <w:szCs w:val="20"/>
              </w:rPr>
              <w:t>.000</w:t>
            </w:r>
          </w:p>
        </w:tc>
      </w:tr>
      <w:tr w:rsidR="00730756" w:rsidRPr="00E46894" w:rsidTr="007B295A">
        <w:tc>
          <w:tcPr>
            <w:tcW w:w="3168" w:type="dxa"/>
            <w:shd w:val="clear" w:color="auto" w:fill="F2F2F2"/>
          </w:tcPr>
          <w:p w:rsidR="00730756" w:rsidRPr="00E46894" w:rsidRDefault="00201671" w:rsidP="007B295A">
            <w:pPr>
              <w:spacing w:after="0" w:line="264" w:lineRule="auto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Odvoz automobila</w:t>
            </w:r>
          </w:p>
        </w:tc>
        <w:tc>
          <w:tcPr>
            <w:tcW w:w="2520" w:type="dxa"/>
            <w:shd w:val="clear" w:color="auto" w:fill="F2F2F2"/>
          </w:tcPr>
          <w:p w:rsidR="00730756" w:rsidRPr="00E46894" w:rsidRDefault="00730756" w:rsidP="007B295A">
            <w:pPr>
              <w:spacing w:after="0" w:line="264" w:lineRule="auto"/>
              <w:jc w:val="center"/>
              <w:rPr>
                <w:rFonts w:cs="Segoe UI"/>
                <w:sz w:val="20"/>
                <w:szCs w:val="20"/>
              </w:rPr>
            </w:pPr>
            <w:r w:rsidRPr="00E46894">
              <w:rPr>
                <w:rFonts w:cs="Segoe UI"/>
                <w:sz w:val="20"/>
                <w:szCs w:val="20"/>
              </w:rPr>
              <w:t>20.000</w:t>
            </w:r>
          </w:p>
        </w:tc>
      </w:tr>
      <w:tr w:rsidR="00730756" w:rsidRPr="006D2709" w:rsidTr="007B295A">
        <w:tc>
          <w:tcPr>
            <w:tcW w:w="3168" w:type="dxa"/>
            <w:shd w:val="clear" w:color="auto" w:fill="F2F2F2"/>
          </w:tcPr>
          <w:p w:rsidR="00730756" w:rsidRPr="00E46894" w:rsidRDefault="00201671" w:rsidP="007B295A">
            <w:pPr>
              <w:spacing w:after="0" w:line="264" w:lineRule="auto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Ostale usluge</w:t>
            </w:r>
          </w:p>
        </w:tc>
        <w:tc>
          <w:tcPr>
            <w:tcW w:w="2520" w:type="dxa"/>
            <w:shd w:val="clear" w:color="auto" w:fill="F2F2F2"/>
          </w:tcPr>
          <w:p w:rsidR="00730756" w:rsidRPr="00E46894" w:rsidRDefault="00E83C66" w:rsidP="001C3D4E">
            <w:pPr>
              <w:spacing w:after="0" w:line="264" w:lineRule="auto"/>
              <w:jc w:val="center"/>
              <w:rPr>
                <w:rFonts w:cs="Segoe UI"/>
                <w:sz w:val="20"/>
                <w:szCs w:val="20"/>
              </w:rPr>
            </w:pPr>
            <w:r w:rsidRPr="00E46894">
              <w:rPr>
                <w:rFonts w:cs="Segoe UI"/>
                <w:sz w:val="20"/>
                <w:szCs w:val="20"/>
              </w:rPr>
              <w:t xml:space="preserve">  10</w:t>
            </w:r>
            <w:r w:rsidR="001C3D4E" w:rsidRPr="00E46894">
              <w:rPr>
                <w:rFonts w:cs="Segoe UI"/>
                <w:sz w:val="20"/>
                <w:szCs w:val="20"/>
              </w:rPr>
              <w:t>.</w:t>
            </w:r>
            <w:r w:rsidR="00730756" w:rsidRPr="00E46894">
              <w:rPr>
                <w:rFonts w:cs="Segoe UI"/>
                <w:sz w:val="20"/>
                <w:szCs w:val="20"/>
              </w:rPr>
              <w:t>000</w:t>
            </w:r>
          </w:p>
        </w:tc>
      </w:tr>
    </w:tbl>
    <w:p w:rsidR="00CB06C5" w:rsidRDefault="00CB06C5" w:rsidP="00730756">
      <w:pPr>
        <w:spacing w:after="120" w:line="264" w:lineRule="auto"/>
        <w:jc w:val="both"/>
        <w:rPr>
          <w:rFonts w:eastAsia="Times New Roman"/>
          <w:sz w:val="20"/>
          <w:szCs w:val="20"/>
          <w:highlight w:val="yellow"/>
        </w:rPr>
      </w:pPr>
    </w:p>
    <w:p w:rsidR="00E32BA3" w:rsidRPr="00510CC2" w:rsidRDefault="00E32BA3" w:rsidP="00510CC2">
      <w:pPr>
        <w:spacing w:after="120" w:line="264" w:lineRule="auto"/>
        <w:jc w:val="both"/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</w:pPr>
      <w:proofErr w:type="gramStart"/>
      <w:r w:rsidRPr="00510CC2"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  <w:t>Subvencije i transferi</w:t>
      </w:r>
      <w:r w:rsidR="00506CD6" w:rsidRPr="00510CC2"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  <w:t xml:space="preserve"> - </w:t>
      </w:r>
      <w:r w:rsidR="006D09EF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u</w:t>
      </w:r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češće izdataka u 2020.</w:t>
      </w:r>
      <w:proofErr w:type="gramEnd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</w:t>
      </w:r>
      <w:proofErr w:type="gramStart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godini</w:t>
      </w:r>
      <w:proofErr w:type="gramEnd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iznosi 1,99%, 2021 - 1,92% i 2022 - 1,86%. </w:t>
      </w:r>
      <w:proofErr w:type="gramStart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Ovaj pad učešća znači povećanje ukupnog budžeta i usmeravanje sredstava u kapitalne projekte.</w:t>
      </w:r>
      <w:proofErr w:type="gramEnd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Ta sredstva se predviđaju za podršku poljoprivredi, zdravstvu - socijalnoj zaštiti, kulturi, omladini, sportu, kao i u sektoru obrazovanja za podršku studentima i ucenicima. Očekuje se da </w:t>
      </w:r>
      <w:proofErr w:type="gramStart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će</w:t>
      </w:r>
      <w:proofErr w:type="gramEnd"/>
      <w:r w:rsidRPr="00510CC2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trend subvencija u srednjem roku ostati nepromenjen.</w:t>
      </w:r>
    </w:p>
    <w:p w:rsidR="00E32BA3" w:rsidRPr="00510CC2" w:rsidRDefault="00E32BA3" w:rsidP="00510CC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  <w:r w:rsidRPr="00510CC2">
        <w:rPr>
          <w:rFonts w:ascii="Times New Roman" w:hAnsi="Times New Roman" w:cs="Times New Roman"/>
          <w:color w:val="222222"/>
          <w:sz w:val="24"/>
          <w:szCs w:val="19"/>
        </w:rPr>
        <w:t>Opis subvencija za poljoprivredu:</w:t>
      </w:r>
    </w:p>
    <w:p w:rsidR="00E32BA3" w:rsidRPr="00510CC2" w:rsidRDefault="00E32BA3" w:rsidP="00510CC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D36942" w:rsidRPr="00510CC2" w:rsidRDefault="00E32BA3" w:rsidP="00510CC2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  <w:r w:rsidRPr="00510CC2">
        <w:rPr>
          <w:rFonts w:ascii="Times New Roman" w:hAnsi="Times New Roman" w:cs="Times New Roman"/>
          <w:color w:val="222222"/>
          <w:sz w:val="24"/>
          <w:szCs w:val="19"/>
        </w:rPr>
        <w:t>Tabela 6: Srednjoročne subvencije</w:t>
      </w:r>
    </w:p>
    <w:tbl>
      <w:tblPr>
        <w:tblW w:w="1132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407"/>
        <w:gridCol w:w="1694"/>
        <w:gridCol w:w="1337"/>
        <w:gridCol w:w="981"/>
        <w:gridCol w:w="4903"/>
      </w:tblGrid>
      <w:tr w:rsidR="00D36942" w:rsidRPr="00E46894" w:rsidTr="00506CD6">
        <w:trPr>
          <w:trHeight w:val="251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D36942" w:rsidRPr="00506CD6" w:rsidRDefault="001B6B35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  <w:r w:rsidRPr="00506CD6">
              <w:rPr>
                <w:rFonts w:ascii="Times New Roman" w:eastAsia="Times New Roman" w:hAnsi="Times New Roman"/>
                <w:b/>
                <w:sz w:val="20"/>
              </w:rPr>
              <w:t>Imenovanje</w:t>
            </w: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D36942" w:rsidRPr="00506CD6" w:rsidRDefault="00E46894" w:rsidP="00D80D62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  <w:r w:rsidRPr="00506CD6">
              <w:rPr>
                <w:rFonts w:ascii="Times New Roman" w:eastAsia="Times New Roman" w:hAnsi="Times New Roman"/>
                <w:b/>
                <w:sz w:val="20"/>
              </w:rPr>
              <w:t>2020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D36942" w:rsidRPr="00506CD6" w:rsidRDefault="00E46894" w:rsidP="00D36942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  <w:r w:rsidRPr="00506CD6">
              <w:rPr>
                <w:rFonts w:ascii="Times New Roman" w:eastAsia="Times New Roman" w:hAnsi="Times New Roman"/>
                <w:b/>
                <w:sz w:val="20"/>
              </w:rPr>
              <w:t>2021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D36942" w:rsidRPr="00506CD6" w:rsidRDefault="00E46894" w:rsidP="00D36942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  <w:r w:rsidRPr="00506CD6">
              <w:rPr>
                <w:rFonts w:ascii="Times New Roman" w:eastAsia="Times New Roman" w:hAnsi="Times New Roman"/>
                <w:b/>
                <w:sz w:val="20"/>
              </w:rPr>
              <w:t>2022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D36942" w:rsidRPr="00506CD6" w:rsidRDefault="001B6B35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  <w:r w:rsidRPr="00506CD6">
              <w:rPr>
                <w:rFonts w:ascii="Times New Roman" w:eastAsia="Times New Roman" w:hAnsi="Times New Roman"/>
                <w:b/>
                <w:sz w:val="20"/>
              </w:rPr>
              <w:t>Opisi</w:t>
            </w:r>
          </w:p>
        </w:tc>
      </w:tr>
      <w:tr w:rsidR="001D47A2" w:rsidRPr="00F26257" w:rsidTr="004B752E">
        <w:trPr>
          <w:trHeight w:val="1034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B6B35" w:rsidRPr="00F26257" w:rsidRDefault="001B6B35" w:rsidP="00F26257">
            <w:pPr>
              <w:pStyle w:val="HTMLPreformatted"/>
              <w:shd w:val="clear" w:color="auto" w:fill="F8F9FA"/>
              <w:spacing w:line="288" w:lineRule="atLeast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26257">
              <w:rPr>
                <w:rFonts w:ascii="Times New Roman" w:hAnsi="Times New Roman" w:cs="Times New Roman"/>
                <w:color w:val="222222"/>
              </w:rPr>
              <w:t>Snabdevanje semenom kukuruza i mineralnim đubrivom</w:t>
            </w:r>
          </w:p>
          <w:p w:rsidR="002F5195" w:rsidRPr="00F26257" w:rsidRDefault="002F5195" w:rsidP="00F262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20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2</w:t>
            </w:r>
            <w:r w:rsidR="00D80D62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0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2</w:t>
            </w:r>
            <w:r w:rsidR="00D80D62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0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AD665A" w:rsidP="00F26257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5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</w:rPr>
              <w:t>Rast površina zasađenih kukuruzom, sa ciljnim poljoprivrednicima koji nisu subvencionirani iz centra (MBPZHR)</w:t>
            </w:r>
          </w:p>
        </w:tc>
      </w:tr>
      <w:tr w:rsidR="001D47A2" w:rsidRPr="00F26257" w:rsidTr="00506CD6">
        <w:trPr>
          <w:trHeight w:val="482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672E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hAnsi="Times New Roman"/>
                <w:sz w:val="20"/>
                <w:szCs w:val="20"/>
              </w:rPr>
              <w:t>Komercijalni plastenici</w:t>
            </w:r>
            <w:r w:rsidR="002F5195" w:rsidRPr="00F2625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30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D80D62" w:rsidRPr="00F26257">
              <w:rPr>
                <w:rFonts w:ascii="Times New Roman" w:eastAsia="Times New Roman" w:hAnsi="Times New Roman"/>
                <w:sz w:val="20"/>
                <w:szCs w:val="20"/>
              </w:rPr>
              <w:t>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4B752E" w:rsidP="00F26257">
            <w:pPr>
              <w:pStyle w:val="HTMLPreformatted"/>
              <w:shd w:val="clear" w:color="auto" w:fill="F8F9FA"/>
              <w:spacing w:line="288" w:lineRule="atLeast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26257">
              <w:rPr>
                <w:rFonts w:ascii="Times New Roman" w:hAnsi="Times New Roman" w:cs="Times New Roman"/>
                <w:color w:val="222222"/>
              </w:rPr>
              <w:t>Povećanje produktivnosti povrća i kontinuirano snabdevanje trzista svežim povrćem.</w:t>
            </w:r>
          </w:p>
        </w:tc>
      </w:tr>
      <w:tr w:rsidR="001D47A2" w:rsidRPr="00F26257" w:rsidTr="00506CD6">
        <w:trPr>
          <w:trHeight w:val="482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672E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hAnsi="Times New Roman"/>
                <w:sz w:val="20"/>
                <w:szCs w:val="20"/>
              </w:rPr>
              <w:t>Poljoprivredni mehanizmi</w:t>
            </w: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DA260D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35.000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35.000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35.000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D45D0E" w:rsidRPr="00F26257" w:rsidRDefault="00D45D0E" w:rsidP="00F26257">
            <w:pPr>
              <w:pStyle w:val="HTMLPreformatted"/>
              <w:shd w:val="clear" w:color="auto" w:fill="F8F9FA"/>
              <w:spacing w:line="288" w:lineRule="atLeast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26257">
              <w:rPr>
                <w:rFonts w:ascii="Times New Roman" w:hAnsi="Times New Roman" w:cs="Times New Roman"/>
                <w:color w:val="222222"/>
              </w:rPr>
              <w:t>Sa mehanizmom poljoprivrede želimo povećati produktivnost po jedinici površine i smanjiti troškove proizvodnje</w:t>
            </w:r>
          </w:p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47A2" w:rsidRPr="00F26257" w:rsidTr="00506CD6">
        <w:trPr>
          <w:trHeight w:val="482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672E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hAnsi="Times New Roman"/>
                <w:sz w:val="20"/>
                <w:szCs w:val="20"/>
              </w:rPr>
              <w:t>Pokretna masina za muzenje</w:t>
            </w: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DA260D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10.000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</w:rPr>
              <w:t>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A260D" w:rsidRPr="00F26257">
              <w:rPr>
                <w:rFonts w:ascii="Times New Roman" w:eastAsia="Times New Roman" w:hAnsi="Times New Roman"/>
                <w:sz w:val="20"/>
                <w:szCs w:val="20"/>
              </w:rPr>
              <w:t>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D45D0E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</w:rPr>
              <w:t>Ovom merom želimo povećati nivo higijene mleka, kao i olakšati proces mužnje u farmama s više grla.</w:t>
            </w:r>
          </w:p>
        </w:tc>
      </w:tr>
      <w:tr w:rsidR="001D47A2" w:rsidRPr="00F26257" w:rsidTr="009D64E1">
        <w:trPr>
          <w:trHeight w:val="728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672E4" w:rsidRPr="00F26257" w:rsidRDefault="001672E4" w:rsidP="00F26257">
            <w:pPr>
              <w:pStyle w:val="HTMLPreformatted"/>
              <w:shd w:val="clear" w:color="auto" w:fill="F8F9FA"/>
              <w:spacing w:line="288" w:lineRule="atLeast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26257">
              <w:rPr>
                <w:rFonts w:ascii="Times New Roman" w:hAnsi="Times New Roman" w:cs="Times New Roman"/>
                <w:color w:val="222222"/>
              </w:rPr>
              <w:t>Snabdevanje semenom pšenice</w:t>
            </w:r>
          </w:p>
          <w:p w:rsidR="001D47A2" w:rsidRPr="00F26257" w:rsidRDefault="001D47A2" w:rsidP="00F262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lastRenderedPageBreak/>
              <w:t>40</w:t>
            </w:r>
            <w:r w:rsidR="00EC5A55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40</w:t>
            </w:r>
            <w:r w:rsidR="00EC5A55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40</w:t>
            </w:r>
            <w:r w:rsidR="00EC5A55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D47A2" w:rsidRPr="00F26257" w:rsidRDefault="002E38C6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25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</w:rPr>
              <w:t>Rast površina zasađenih psenicom, sa ciljnim poljoprivrednicima koji nisu subvencionirani iz centra (MBPZHR)</w:t>
            </w:r>
          </w:p>
        </w:tc>
      </w:tr>
      <w:tr w:rsidR="00D80D62" w:rsidRPr="00F26257" w:rsidTr="00506CD6">
        <w:trPr>
          <w:trHeight w:val="482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1672E4" w:rsidRPr="00F26257" w:rsidRDefault="001672E4" w:rsidP="00F26257">
            <w:pPr>
              <w:pStyle w:val="HTMLPreformatted"/>
              <w:shd w:val="clear" w:color="auto" w:fill="F8F9FA"/>
              <w:spacing w:line="288" w:lineRule="atLeast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26257">
              <w:rPr>
                <w:rFonts w:ascii="Times New Roman" w:hAnsi="Times New Roman" w:cs="Times New Roman"/>
                <w:color w:val="222222"/>
              </w:rPr>
              <w:lastRenderedPageBreak/>
              <w:t>Snabdevanje sadnicama oraha</w:t>
            </w:r>
          </w:p>
          <w:p w:rsidR="00D80D62" w:rsidRPr="00F26257" w:rsidRDefault="00D80D62" w:rsidP="00F26257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D80D62" w:rsidRPr="00F26257" w:rsidRDefault="00D80D6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20.000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D80D6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20.000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D80D62" w:rsidRPr="00F26257" w:rsidRDefault="00EC5A55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20.000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D80D62" w:rsidRPr="00F26257" w:rsidRDefault="009D64E1" w:rsidP="00F26257">
            <w:pPr>
              <w:pStyle w:val="HTMLPreformatted"/>
              <w:shd w:val="clear" w:color="auto" w:fill="F8F9FA"/>
              <w:spacing w:line="288" w:lineRule="atLeast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26257">
              <w:rPr>
                <w:rFonts w:ascii="Times New Roman" w:hAnsi="Times New Roman" w:cs="Times New Roman"/>
                <w:color w:val="222222"/>
              </w:rPr>
              <w:t xml:space="preserve">Uzgoj oraha </w:t>
            </w:r>
            <w:r w:rsidR="002E38C6" w:rsidRPr="00F26257">
              <w:rPr>
                <w:rFonts w:ascii="Times New Roman" w:hAnsi="Times New Roman" w:cs="Times New Roman"/>
                <w:color w:val="222222"/>
              </w:rPr>
              <w:t xml:space="preserve"> je od velikog interesa za poljoprivrednike zbog velike profitabilnos</w:t>
            </w:r>
            <w:r w:rsidRPr="00F26257">
              <w:rPr>
                <w:rFonts w:ascii="Times New Roman" w:hAnsi="Times New Roman" w:cs="Times New Roman"/>
                <w:color w:val="222222"/>
              </w:rPr>
              <w:t>ti i visokih zaht</w:t>
            </w:r>
            <w:r w:rsidR="002E38C6" w:rsidRPr="00F26257">
              <w:rPr>
                <w:rFonts w:ascii="Times New Roman" w:hAnsi="Times New Roman" w:cs="Times New Roman"/>
                <w:color w:val="222222"/>
              </w:rPr>
              <w:t>eva tržišta</w:t>
            </w:r>
          </w:p>
        </w:tc>
      </w:tr>
      <w:tr w:rsidR="00EC5A55" w:rsidRPr="00F26257" w:rsidTr="00506CD6">
        <w:trPr>
          <w:trHeight w:val="482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EC5A55" w:rsidRPr="00F26257" w:rsidRDefault="00280E5A" w:rsidP="00F26257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26257">
              <w:rPr>
                <w:rFonts w:ascii="Times New Roman" w:hAnsi="Times New Roman"/>
                <w:sz w:val="20"/>
                <w:szCs w:val="20"/>
                <w:lang w:val="it-IT"/>
              </w:rPr>
              <w:t>Kucice za pcele</w:t>
            </w: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EC5A55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15</w:t>
            </w:r>
            <w:r w:rsidR="00EC5A55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EC5A55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15</w:t>
            </w:r>
            <w:r w:rsidR="00EC5A55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EC5A55" w:rsidRPr="00F26257" w:rsidRDefault="00E46894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15</w:t>
            </w:r>
            <w:r w:rsidR="00EC5A55" w:rsidRPr="00F26257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.000</w:t>
            </w: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</w:tcPr>
          <w:p w:rsidR="00EC5A55" w:rsidRPr="00F26257" w:rsidRDefault="009D64E1" w:rsidP="00F26257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5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</w:rPr>
              <w:t>Kako bi se povećao broj pčelinjih drustava, ova ponuda omogućava deljenje novih drustava</w:t>
            </w:r>
          </w:p>
        </w:tc>
      </w:tr>
      <w:tr w:rsidR="001D47A2" w:rsidRPr="00F26257" w:rsidTr="00506CD6"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47A2" w:rsidRPr="00F26257" w:rsidTr="00506CD6">
        <w:trPr>
          <w:trHeight w:val="11"/>
        </w:trPr>
        <w:tc>
          <w:tcPr>
            <w:tcW w:w="24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/>
            <w:hideMark/>
          </w:tcPr>
          <w:p w:rsidR="001D47A2" w:rsidRPr="00F26257" w:rsidRDefault="001D47A2" w:rsidP="00F26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86B75" w:rsidRPr="00F26257" w:rsidRDefault="00C86B75" w:rsidP="00F26257">
      <w:pPr>
        <w:ind w:left="-990" w:right="-1080"/>
        <w:jc w:val="both"/>
        <w:rPr>
          <w:rFonts w:ascii="Times New Roman" w:hAnsi="Times New Roman"/>
          <w:sz w:val="20"/>
          <w:szCs w:val="20"/>
        </w:rPr>
      </w:pPr>
    </w:p>
    <w:p w:rsidR="000E5B73" w:rsidRPr="00DE562B" w:rsidRDefault="000E5B73" w:rsidP="00DE562B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8F9FA"/>
        </w:rPr>
      </w:pPr>
      <w:r w:rsidRPr="00DE562B">
        <w:rPr>
          <w:rFonts w:ascii="Times New Roman" w:hAnsi="Times New Roman"/>
          <w:sz w:val="24"/>
          <w:szCs w:val="24"/>
        </w:rPr>
        <w:br/>
      </w:r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Kapitalni rashodi: Očekuje se da </w:t>
      </w:r>
      <w:proofErr w:type="gramStart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će</w:t>
      </w:r>
      <w:proofErr w:type="gramEnd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ova kategorija rashoda u 2019. </w:t>
      </w:r>
      <w:proofErr w:type="gramStart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godini</w:t>
      </w:r>
      <w:proofErr w:type="gramEnd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iznositi 20,78%, u 2020. </w:t>
      </w:r>
      <w:proofErr w:type="gramStart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godini</w:t>
      </w:r>
      <w:proofErr w:type="gramEnd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23,07%, a 2021. </w:t>
      </w:r>
      <w:proofErr w:type="gramStart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godine</w:t>
      </w:r>
      <w:proofErr w:type="gramEnd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 xml:space="preserve"> 25,39%. </w:t>
      </w:r>
    </w:p>
    <w:p w:rsidR="00693FAD" w:rsidRPr="00DE562B" w:rsidRDefault="000E5B73" w:rsidP="00DE562B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8F9FA"/>
        </w:rPr>
      </w:pPr>
      <w:proofErr w:type="gramStart"/>
      <w:r w:rsidRPr="00DE562B">
        <w:rPr>
          <w:rFonts w:ascii="Times New Roman" w:hAnsi="Times New Roman"/>
          <w:b/>
          <w:color w:val="222222"/>
          <w:sz w:val="24"/>
          <w:szCs w:val="24"/>
          <w:shd w:val="clear" w:color="auto" w:fill="F8F9FA"/>
        </w:rPr>
        <w:t>Opštinski troškovi po sektorima u 2020.</w:t>
      </w:r>
      <w:proofErr w:type="gramEnd"/>
      <w:r w:rsidRPr="00DE562B">
        <w:rPr>
          <w:rFonts w:ascii="Times New Roman" w:hAnsi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Pr="00DE562B">
        <w:rPr>
          <w:rFonts w:ascii="Times New Roman" w:hAnsi="Times New Roman"/>
          <w:b/>
          <w:color w:val="222222"/>
          <w:sz w:val="24"/>
          <w:szCs w:val="24"/>
          <w:shd w:val="clear" w:color="auto" w:fill="F8F9FA"/>
        </w:rPr>
        <w:t>godini</w:t>
      </w:r>
      <w:proofErr w:type="gramEnd"/>
      <w:r w:rsidRPr="00DE562B">
        <w:rPr>
          <w:rFonts w:ascii="Times New Roman" w:hAnsi="Times New Roman"/>
          <w:b/>
          <w:color w:val="222222"/>
          <w:sz w:val="24"/>
          <w:szCs w:val="24"/>
          <w:shd w:val="clear" w:color="auto" w:fill="F8F9FA"/>
        </w:rPr>
        <w:t xml:space="preserve"> </w:t>
      </w:r>
    </w:p>
    <w:p w:rsidR="00C86B75" w:rsidRPr="00DE562B" w:rsidRDefault="00693FAD" w:rsidP="00DE562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Sledeći grafikon prikazuje raspod</w:t>
      </w:r>
      <w:r w:rsidR="000E5B73"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elu resur</w:t>
      </w:r>
      <w:r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sa po sektorima / upravama u 2020 godini</w:t>
      </w:r>
      <w:r w:rsidR="000E5B73" w:rsidRPr="00DE562B">
        <w:rPr>
          <w:rFonts w:ascii="Times New Roman" w:hAnsi="Times New Roman"/>
          <w:color w:val="222222"/>
          <w:sz w:val="24"/>
          <w:szCs w:val="24"/>
          <w:shd w:val="clear" w:color="auto" w:fill="F8F9FA"/>
        </w:rPr>
        <w:t>.</w:t>
      </w:r>
      <w:proofErr w:type="gramEnd"/>
    </w:p>
    <w:p w:rsidR="002F7D81" w:rsidRPr="00DE562B" w:rsidRDefault="00DE562B" w:rsidP="00DE562B">
      <w:pPr>
        <w:pStyle w:val="Caption"/>
        <w:keepNext/>
        <w:jc w:val="both"/>
        <w:rPr>
          <w:rFonts w:ascii="Times New Roman" w:hAnsi="Times New Roman"/>
          <w:sz w:val="24"/>
          <w:szCs w:val="24"/>
        </w:rPr>
      </w:pPr>
      <w:r w:rsidRPr="00DE562B">
        <w:rPr>
          <w:rFonts w:ascii="Times New Roman" w:hAnsi="Times New Roman"/>
          <w:sz w:val="24"/>
          <w:szCs w:val="24"/>
        </w:rPr>
        <w:t>Grafikon</w:t>
      </w:r>
      <w:r w:rsidR="005208B9" w:rsidRPr="00DE562B">
        <w:rPr>
          <w:rFonts w:ascii="Times New Roman" w:hAnsi="Times New Roman"/>
          <w:sz w:val="24"/>
          <w:szCs w:val="24"/>
        </w:rPr>
        <w:t>:  Plan izdataka prema sektorima u 2020 godini</w:t>
      </w:r>
    </w:p>
    <w:p w:rsidR="006C675E" w:rsidRPr="006D2709" w:rsidRDefault="00CA254C" w:rsidP="008D78A1">
      <w:pPr>
        <w:jc w:val="both"/>
        <w:rPr>
          <w:rFonts w:cs="Segoe UI"/>
          <w:b/>
          <w:highlight w:val="yellow"/>
          <w:lang w:val="sq-AL"/>
        </w:rPr>
      </w:pPr>
      <w:r>
        <w:rPr>
          <w:noProof/>
          <w:lang w:val="sq-AL" w:eastAsia="sq-AL"/>
        </w:rPr>
        <w:drawing>
          <wp:inline distT="0" distB="0" distL="0" distR="0">
            <wp:extent cx="6400800" cy="47815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53C5" w:rsidRPr="00307E74" w:rsidRDefault="007C53C5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  <w:proofErr w:type="gramStart"/>
      <w:r w:rsidRPr="00307E74">
        <w:rPr>
          <w:rFonts w:ascii="Times New Roman" w:hAnsi="Times New Roman" w:cs="Times New Roman"/>
          <w:color w:val="222222"/>
          <w:sz w:val="24"/>
          <w:szCs w:val="19"/>
        </w:rPr>
        <w:lastRenderedPageBreak/>
        <w:t>Prema ovim procenama, najveći deo potrošnje opštine za 2020.</w:t>
      </w:r>
      <w:proofErr w:type="gramEnd"/>
      <w:r w:rsidRPr="00307E74">
        <w:rPr>
          <w:rFonts w:ascii="Times New Roman" w:hAnsi="Times New Roman" w:cs="Times New Roman"/>
          <w:color w:val="222222"/>
          <w:sz w:val="24"/>
          <w:szCs w:val="19"/>
        </w:rPr>
        <w:t xml:space="preserve"> </w:t>
      </w:r>
      <w:proofErr w:type="gramStart"/>
      <w:r w:rsidRPr="00307E74">
        <w:rPr>
          <w:rFonts w:ascii="Times New Roman" w:hAnsi="Times New Roman" w:cs="Times New Roman"/>
          <w:color w:val="222222"/>
          <w:sz w:val="24"/>
          <w:szCs w:val="19"/>
        </w:rPr>
        <w:t>godinu</w:t>
      </w:r>
      <w:proofErr w:type="gramEnd"/>
      <w:r w:rsidRPr="00307E74">
        <w:rPr>
          <w:rFonts w:ascii="Times New Roman" w:hAnsi="Times New Roman" w:cs="Times New Roman"/>
          <w:color w:val="222222"/>
          <w:sz w:val="24"/>
          <w:szCs w:val="19"/>
        </w:rPr>
        <w:t xml:space="preserve"> i dalje se izdvaja  za sektor pred-univerzitetskog obrazovanja, koji ukupno čini 56% budžeta. </w:t>
      </w:r>
      <w:proofErr w:type="gramStart"/>
      <w:r w:rsidRPr="00307E74">
        <w:rPr>
          <w:rFonts w:ascii="Times New Roman" w:hAnsi="Times New Roman" w:cs="Times New Roman"/>
          <w:color w:val="222222"/>
          <w:sz w:val="24"/>
          <w:szCs w:val="19"/>
        </w:rPr>
        <w:t>Ostatak sredstava se izdvaja za javne usluge, infrastrukturu i stanovanje, ekonomski razvoj, urbanizam i zastitu, kulturu, omladinu i sport, primarnu zdravstvenu zaštitu, a preostali deo se izdvaja za usluge podrške i eksproprijacije koje su u funkciji urbanog razvoja i opstinske infrastrukture.</w:t>
      </w:r>
      <w:proofErr w:type="gramEnd"/>
    </w:p>
    <w:p w:rsidR="007C53C5" w:rsidRDefault="007C53C5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4E1B64" w:rsidRPr="00307E74" w:rsidRDefault="004E1B64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7C53C5" w:rsidRPr="00307E74" w:rsidRDefault="007C53C5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</w:p>
    <w:p w:rsidR="007C53C5" w:rsidRPr="00307E74" w:rsidRDefault="007C53C5" w:rsidP="00307E74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19"/>
        </w:rPr>
      </w:pPr>
      <w:r w:rsidRPr="00307E74">
        <w:rPr>
          <w:rFonts w:ascii="Times New Roman" w:hAnsi="Times New Roman" w:cs="Times New Roman"/>
          <w:color w:val="222222"/>
          <w:sz w:val="24"/>
          <w:szCs w:val="19"/>
        </w:rPr>
        <w:t xml:space="preserve">Sledeća tabela daje pregled raspodele opštinskih rashoda </w:t>
      </w:r>
      <w:proofErr w:type="gramStart"/>
      <w:r w:rsidRPr="00307E74">
        <w:rPr>
          <w:rFonts w:ascii="Times New Roman" w:hAnsi="Times New Roman" w:cs="Times New Roman"/>
          <w:color w:val="222222"/>
          <w:sz w:val="24"/>
          <w:szCs w:val="19"/>
        </w:rPr>
        <w:t>na</w:t>
      </w:r>
      <w:proofErr w:type="gramEnd"/>
      <w:r w:rsidRPr="00307E74">
        <w:rPr>
          <w:rFonts w:ascii="Times New Roman" w:hAnsi="Times New Roman" w:cs="Times New Roman"/>
          <w:color w:val="222222"/>
          <w:sz w:val="24"/>
          <w:szCs w:val="19"/>
        </w:rPr>
        <w:t xml:space="preserve"> osnovu opštinskih programa i na osnovu sledećih ekonomskih kategorija:</w:t>
      </w:r>
    </w:p>
    <w:p w:rsidR="00C403CC" w:rsidRDefault="00C403CC" w:rsidP="001C1633">
      <w:pPr>
        <w:jc w:val="both"/>
        <w:rPr>
          <w:rFonts w:cs="Segoe UI"/>
          <w:lang w:val="de-DE"/>
        </w:rPr>
      </w:pPr>
    </w:p>
    <w:p w:rsidR="004E1B64" w:rsidRDefault="004E1B64" w:rsidP="001C1633">
      <w:pPr>
        <w:jc w:val="both"/>
        <w:rPr>
          <w:rFonts w:cs="Segoe UI"/>
          <w:lang w:val="de-DE"/>
        </w:rPr>
      </w:pPr>
    </w:p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1660"/>
        <w:gridCol w:w="973"/>
        <w:gridCol w:w="847"/>
        <w:gridCol w:w="1280"/>
        <w:gridCol w:w="1200"/>
        <w:gridCol w:w="1060"/>
        <w:gridCol w:w="1560"/>
        <w:gridCol w:w="1180"/>
        <w:gridCol w:w="1260"/>
      </w:tblGrid>
      <w:tr w:rsidR="001C1633" w:rsidRPr="001C1633" w:rsidTr="001C1633">
        <w:trPr>
          <w:trHeight w:val="645"/>
        </w:trPr>
        <w:tc>
          <w:tcPr>
            <w:tcW w:w="11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Troskovi</w:t>
            </w:r>
            <w:r w:rsidR="001C1633" w:rsidRPr="001C1633">
              <w:rPr>
                <w:rFonts w:ascii="Arial" w:eastAsia="Times New Roman" w:hAnsi="Arial" w:cs="Arial"/>
                <w:sz w:val="28"/>
                <w:szCs w:val="28"/>
              </w:rPr>
              <w:t xml:space="preserve">    2018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Uprave/Programi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  Programi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Broj radnika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Plate</w:t>
            </w:r>
            <w:r w:rsidR="001C1633"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Robe i usluge</w:t>
            </w:r>
            <w:r w:rsidR="001C1633"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222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2225A5">
              <w:rPr>
                <w:rFonts w:ascii="Arial" w:eastAsia="Times New Roman" w:hAnsi="Arial" w:cs="Arial"/>
                <w:sz w:val="16"/>
                <w:szCs w:val="16"/>
              </w:rPr>
              <w:t>Opstinski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Subvencije</w:t>
            </w:r>
            <w:r w:rsidR="001C1633"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222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2225A5">
              <w:rPr>
                <w:rFonts w:ascii="Arial" w:eastAsia="Times New Roman" w:hAnsi="Arial" w:cs="Arial"/>
                <w:sz w:val="16"/>
                <w:szCs w:val="16"/>
              </w:rPr>
              <w:t>Kapitalni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2225A5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Ukupno</w:t>
            </w:r>
            <w:r w:rsidR="001C1633"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€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Kancelarija Predsednika</w:t>
            </w:r>
            <w:r w:rsidR="001C1633"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160/16027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244,626.75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162,098.96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58,337.30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472,063.01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Opsta administracija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163/16327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227,229.49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219,995.84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15,543.76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189,260.13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652,029.22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Nabavka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167/16835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54,514.59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9,973.62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  65,188.21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Kancelarija Skupstine opstine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169/16927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117,602.05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3,683.10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121,285.15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Budzet i finansije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175/17527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185,903.24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36,157.73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232,060.97 </w:t>
            </w:r>
          </w:p>
        </w:tc>
      </w:tr>
      <w:tr w:rsidR="001C1633" w:rsidRPr="001C1633" w:rsidTr="001C1633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Javne usluge, infrastruktura i stanovanje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180/18187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90,438.65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485,670.72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317,296.50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1,889,718.36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2,783,124.23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613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13526">
              <w:rPr>
                <w:rFonts w:ascii="Arial" w:eastAsia="Times New Roman" w:hAnsi="Arial" w:cs="Arial"/>
                <w:sz w:val="16"/>
                <w:szCs w:val="16"/>
              </w:rPr>
              <w:t>Zastita i spasavanje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180/18431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308,079.25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138,149.15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7,486.51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453,714.91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Kancelarija za zajednice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195/19635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51,060.07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1,993.62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  54,053.69 </w:t>
            </w:r>
          </w:p>
        </w:tc>
      </w:tr>
      <w:tr w:rsidR="001C1633" w:rsidRPr="001C1633" w:rsidTr="001C1633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Poljoprivreda i sumarstvo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470/47027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149,859.67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31,730.50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6,000.00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180,480.00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79,634.90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447,705.07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Ekonomski razvoj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480/48027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95,133.68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82,044.87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1,884.85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82,636.63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620,471.33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882,171.36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Katastar, geodezija i imovina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650/65335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145,983.61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17,635.00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699,931.27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869,049.88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Urbanizam i zastita sredine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660/66440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115,297.85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84,891.07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435,722.50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644,911.42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Zdravstvo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2,108,908.68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381,179.50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86,921.66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192,654.27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186,275.49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2,955,939.60 </w:t>
            </w:r>
          </w:p>
        </w:tc>
      </w:tr>
      <w:tr w:rsidR="001C1633" w:rsidRPr="001C1633" w:rsidTr="001C1633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DSHMS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730/73036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47,610.38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45,669.17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192,654.27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292,933.82 </w:t>
            </w:r>
          </w:p>
        </w:tc>
      </w:tr>
      <w:tr w:rsidR="001C1633" w:rsidRPr="001C1633" w:rsidTr="001C1633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GCPM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730/74600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2,061,298.30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335,510.33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79,921.66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186,275.49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2,663,005.78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CSR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755/75631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95,375.09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11,997.46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112,372.55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Kultura,omladina i sport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850/85027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145,015.81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89,951.33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17,997.29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214,765.69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467,730.12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Obrazovanje i nauka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10,748,065.99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1,448,258.77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192,769.66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49,524.00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701,233.65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13,139,852.07 </w:t>
            </w:r>
          </w:p>
        </w:tc>
      </w:tr>
      <w:tr w:rsidR="001C1633" w:rsidRPr="001C1633" w:rsidTr="001C1633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OUO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920/92135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95,610.47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779,208.34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7,158.45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49,524.00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642,520.65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1,574,021.91 </w:t>
            </w:r>
          </w:p>
        </w:tc>
      </w:tr>
      <w:tr w:rsidR="001C1633" w:rsidRPr="001C1633" w:rsidTr="001C1633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Predskolsko obrazovanje i obdanistra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920/92730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505,256.27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223,366.68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34,849.13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   763,472.08 </w:t>
            </w:r>
          </w:p>
        </w:tc>
      </w:tr>
      <w:tr w:rsidR="001C1633" w:rsidRPr="001C1633" w:rsidTr="001C1633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Osnovno obrazovanje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920/93780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7,166,747.51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310,115.11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100,014.92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58,713.00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7,635,590.54 </w:t>
            </w:r>
          </w:p>
        </w:tc>
      </w:tr>
      <w:tr w:rsidR="001C1633" w:rsidRPr="001C1633" w:rsidTr="001C1633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Srednje obrazovanje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920/94980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2,980,451.74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135,568.64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>50,747.16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 3,166,767.54 </w:t>
            </w:r>
          </w:p>
        </w:tc>
      </w:tr>
      <w:tr w:rsidR="001C1633" w:rsidRPr="001C1633" w:rsidTr="001C1633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633" w:rsidRPr="001C1633" w:rsidRDefault="00613526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Ukupno</w:t>
            </w:r>
            <w:r w:rsidR="001C1633"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14,883,094.47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3,205,411.24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684,100.23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778,397.89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4,802,247.63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33" w:rsidRPr="001C1633" w:rsidRDefault="001C1633" w:rsidP="001C16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24,353,251.46 </w:t>
            </w:r>
          </w:p>
        </w:tc>
      </w:tr>
    </w:tbl>
    <w:p w:rsidR="001C1633" w:rsidRPr="001C1633" w:rsidRDefault="001C1633" w:rsidP="001C1633">
      <w:pPr>
        <w:ind w:left="-990"/>
        <w:rPr>
          <w:rFonts w:cs="Segoe UI"/>
          <w:lang w:val="de-DE"/>
        </w:rPr>
      </w:pPr>
    </w:p>
    <w:tbl>
      <w:tblPr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8"/>
        <w:gridCol w:w="976"/>
        <w:gridCol w:w="616"/>
        <w:gridCol w:w="1247"/>
        <w:gridCol w:w="1262"/>
        <w:gridCol w:w="1104"/>
        <w:gridCol w:w="1135"/>
        <w:gridCol w:w="1246"/>
        <w:gridCol w:w="1325"/>
      </w:tblGrid>
      <w:tr w:rsidR="0014656C" w:rsidTr="006E757E">
        <w:trPr>
          <w:trHeight w:val="638"/>
        </w:trPr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656C" w:rsidRDefault="006E757E" w:rsidP="00146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Planiranje</w:t>
            </w:r>
            <w:r w:rsidR="0014656C">
              <w:rPr>
                <w:rFonts w:ascii="Arial" w:hAnsi="Arial" w:cs="Arial"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E757E" w:rsidTr="006E757E">
        <w:trPr>
          <w:trHeight w:val="48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Uprave/Programi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  Programi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Broj radnika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Plate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Robe i usluge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Opstinski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Subvencije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Kapitalni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Ukupno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€ </w:t>
            </w:r>
          </w:p>
        </w:tc>
      </w:tr>
      <w:tr w:rsidR="0014656C" w:rsidTr="006E757E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Predsednika</w:t>
            </w:r>
            <w:r w:rsidR="001465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160/16027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258,650.46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9,500.00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53,936.00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472,086.46 </w:t>
            </w:r>
          </w:p>
        </w:tc>
      </w:tr>
      <w:tr w:rsidR="0014656C" w:rsidTr="006E757E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Opsta administracija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163/16327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241,867.00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757,867.00 </w:t>
            </w:r>
          </w:p>
        </w:tc>
      </w:tr>
      <w:tr w:rsidR="0014656C" w:rsidTr="006E757E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Inspekcija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166/16653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115,182.99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183,182.99 </w:t>
            </w:r>
          </w:p>
        </w:tc>
      </w:tr>
      <w:tr w:rsidR="0014656C" w:rsidTr="006E757E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Nabavka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167/16835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135,247.00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144,247.00</w:t>
            </w:r>
          </w:p>
        </w:tc>
      </w:tr>
      <w:tr w:rsidR="0014656C" w:rsidTr="006E757E">
        <w:trPr>
          <w:trHeight w:val="466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Skupstine opstine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169/16927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154,000.00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166,000.00</w:t>
            </w:r>
          </w:p>
        </w:tc>
      </w:tr>
      <w:tr w:rsidR="0014656C" w:rsidTr="006E757E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Budzet I finansije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175/17527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182,942.00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229,942.00</w:t>
            </w:r>
          </w:p>
        </w:tc>
      </w:tr>
      <w:tr w:rsidR="0014656C" w:rsidTr="006E757E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Javne usluge, infrastruktra i stanovanje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180/18187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79,832.00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260,000.00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2,847,832.00</w:t>
            </w:r>
          </w:p>
        </w:tc>
      </w:tr>
      <w:tr w:rsidR="0014656C" w:rsidTr="006E757E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Zastita I spasavanje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180/18431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288,900.00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435,900.00</w:t>
            </w:r>
          </w:p>
        </w:tc>
      </w:tr>
      <w:tr w:rsidR="0014656C" w:rsidTr="006E757E">
        <w:trPr>
          <w:trHeight w:val="29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za zajednice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195/19635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51,471.00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57,471.00</w:t>
            </w:r>
          </w:p>
        </w:tc>
      </w:tr>
      <w:tr w:rsidR="0014656C" w:rsidTr="006E757E">
        <w:trPr>
          <w:trHeight w:val="29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Poljoprivreda I sum.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470/47027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144,662.00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175,000.00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442,662.00</w:t>
            </w:r>
          </w:p>
        </w:tc>
      </w:tr>
      <w:tr w:rsidR="0014656C" w:rsidTr="006E757E">
        <w:trPr>
          <w:trHeight w:val="3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Ekonomski razvoj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480/48027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82,125.00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1,174,125.00</w:t>
            </w:r>
          </w:p>
        </w:tc>
      </w:tr>
      <w:tr w:rsidR="0014656C" w:rsidTr="006E757E">
        <w:trPr>
          <w:trHeight w:val="29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Katastar, geodezija i imovina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650/65335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156,944.00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865,944.00</w:t>
            </w:r>
          </w:p>
        </w:tc>
      </w:tr>
      <w:tr w:rsidR="0014656C" w:rsidTr="006E757E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Urbanizam I zastita sredine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660/66440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116,432.00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430,000.00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575,432.00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9F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Zdrav</w:t>
            </w:r>
            <w:r w:rsidR="00AF1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="00AF1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2,162,045.49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610,000.00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82,000.00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150,000.00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302,228.00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3,306,273.49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DSHMS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730/73036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47,046.00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264,046.00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GCPM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730/74600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2,114,999.49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302,228.00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3,042,227.49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CSR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755/75631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99,630.00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116,630.00 </w:t>
            </w:r>
          </w:p>
        </w:tc>
      </w:tr>
      <w:tr w:rsidR="0014656C" w:rsidTr="006E757E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Kultura, omladina i sport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850/85027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170,703.00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470,703.00 </w:t>
            </w:r>
          </w:p>
        </w:tc>
      </w:tr>
      <w:tr w:rsidR="0014656C" w:rsidTr="006E757E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Obrazovanje i nauka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11,031,488.99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1,540,000.00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217,000.00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450,000.00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13,298,488.99 </w:t>
            </w:r>
          </w:p>
        </w:tc>
      </w:tr>
      <w:tr w:rsidR="0014656C" w:rsidTr="006E757E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OUO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920/92135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125,398.00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450,000.00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1,482,398.00 </w:t>
            </w:r>
          </w:p>
        </w:tc>
      </w:tr>
      <w:tr w:rsidR="0014656C" w:rsidTr="006E757E">
        <w:trPr>
          <w:trHeight w:val="653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AF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Predskolsko obrazovanje i obdanista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920/92730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588,620.00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883,620.00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B93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920/93780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7,298,820.00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7,708,820.00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B93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920/94980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3,018,650.99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3,223,650.99 </w:t>
            </w:r>
          </w:p>
        </w:tc>
      </w:tr>
      <w:tr w:rsidR="0014656C" w:rsidTr="006E757E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 w:rsidP="00B93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93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€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2,459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15,472,122.93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3,710,000.00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671,500.00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608,936.00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5,082,228.00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6C" w:rsidRDefault="00146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25,544,786.93 </w:t>
            </w:r>
          </w:p>
        </w:tc>
      </w:tr>
    </w:tbl>
    <w:p w:rsidR="006C675E" w:rsidRDefault="006C675E">
      <w:pPr>
        <w:rPr>
          <w:rFonts w:cs="Segoe UI"/>
          <w:highlight w:val="yellow"/>
          <w:lang w:val="de-DE"/>
        </w:rPr>
      </w:pPr>
    </w:p>
    <w:p w:rsidR="001A65D6" w:rsidRDefault="001A65D6">
      <w:pPr>
        <w:rPr>
          <w:rFonts w:cs="Segoe UI"/>
          <w:highlight w:val="yellow"/>
          <w:lang w:val="de-DE"/>
        </w:rPr>
      </w:pPr>
    </w:p>
    <w:p w:rsidR="001A65D6" w:rsidRDefault="001A65D6">
      <w:pPr>
        <w:rPr>
          <w:rFonts w:cs="Segoe UI"/>
          <w:highlight w:val="yellow"/>
          <w:lang w:val="de-DE"/>
        </w:rPr>
      </w:pPr>
    </w:p>
    <w:p w:rsidR="001A65D6" w:rsidRDefault="001A65D6">
      <w:pPr>
        <w:rPr>
          <w:rFonts w:cs="Segoe UI"/>
          <w:highlight w:val="yellow"/>
          <w:lang w:val="de-DE"/>
        </w:rPr>
      </w:pPr>
    </w:p>
    <w:p w:rsidR="006E757E" w:rsidRDefault="006E757E">
      <w:pPr>
        <w:rPr>
          <w:rFonts w:cs="Segoe UI"/>
          <w:highlight w:val="yellow"/>
          <w:lang w:val="de-DE"/>
        </w:rPr>
      </w:pPr>
    </w:p>
    <w:p w:rsidR="006E757E" w:rsidRDefault="006E757E">
      <w:pPr>
        <w:rPr>
          <w:rFonts w:cs="Segoe UI"/>
          <w:highlight w:val="yellow"/>
          <w:lang w:val="de-DE"/>
        </w:rPr>
      </w:pPr>
    </w:p>
    <w:p w:rsidR="001A65D6" w:rsidRDefault="001A65D6">
      <w:pPr>
        <w:rPr>
          <w:rFonts w:cs="Segoe UI"/>
          <w:highlight w:val="yellow"/>
          <w:lang w:val="de-DE"/>
        </w:rPr>
      </w:pPr>
    </w:p>
    <w:tbl>
      <w:tblPr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8"/>
        <w:gridCol w:w="976"/>
        <w:gridCol w:w="521"/>
        <w:gridCol w:w="95"/>
        <w:gridCol w:w="1247"/>
        <w:gridCol w:w="1262"/>
        <w:gridCol w:w="1104"/>
        <w:gridCol w:w="1135"/>
        <w:gridCol w:w="1246"/>
        <w:gridCol w:w="1325"/>
      </w:tblGrid>
      <w:tr w:rsidR="00DF3A67" w:rsidTr="0014656C">
        <w:trPr>
          <w:trHeight w:val="348"/>
        </w:trPr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67" w:rsidRDefault="00DF3A67" w:rsidP="004E1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Plani</w:t>
            </w:r>
            <w:r w:rsidR="0042704E">
              <w:rPr>
                <w:rFonts w:ascii="Arial" w:hAnsi="Arial" w:cs="Arial"/>
                <w:color w:val="000000"/>
                <w:sz w:val="28"/>
                <w:szCs w:val="28"/>
              </w:rPr>
              <w:t>ranje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2020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3A67" w:rsidRDefault="00DF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E757E" w:rsidTr="006E757E">
        <w:trPr>
          <w:trHeight w:val="509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Uprave/Programi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  Programi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Broj radnika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Plate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Robe i usluge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Opstinski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Subvencije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Kapitalni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Ukupno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€ </w:t>
            </w:r>
          </w:p>
        </w:tc>
      </w:tr>
      <w:tr w:rsidR="00FE6701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Kancelarija Predsednika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160/16027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274,692.00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55,000.00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479,692.00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Opsta administracija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163/16327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271,919.00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290,000.00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816,919.00 </w:t>
            </w:r>
          </w:p>
        </w:tc>
      </w:tr>
      <w:tr w:rsidR="00FE6701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Inspekcija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166/16653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143,225.00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213,225.00 </w:t>
            </w:r>
          </w:p>
        </w:tc>
      </w:tr>
      <w:tr w:rsidR="00FE6701" w:rsidTr="0014656C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Nabavka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167/16835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146,643.00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155,643.00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Skupstine opstine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169/16927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194,509.00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214,509.00 </w:t>
            </w:r>
          </w:p>
        </w:tc>
      </w:tr>
      <w:tr w:rsidR="00FE6701" w:rsidTr="0014656C">
        <w:trPr>
          <w:trHeight w:val="27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Budzet I finansije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175/17527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209,118.00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259,118.00 </w:t>
            </w:r>
          </w:p>
        </w:tc>
      </w:tr>
      <w:tr w:rsidR="00FE6701" w:rsidTr="0014656C">
        <w:trPr>
          <w:trHeight w:val="653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Javne usluge, infrastruktra i stanovanje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180/18187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99,358.00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240,000.00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2,419,358.00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Zastita I spasavanje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180/18431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385,117.00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493,117.00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za zajednice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195/19635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57,523.00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63,523.00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Poljoprivreda I sum.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470/47027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162,200.00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454,200.00 </w:t>
            </w:r>
          </w:p>
        </w:tc>
      </w:tr>
      <w:tr w:rsidR="00FE6701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Ekonomski razvoj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480/48027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94,133.00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936,133.00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Katastar, geodezija i imovina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650/65335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183,811.00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958,811.00 </w:t>
            </w:r>
          </w:p>
        </w:tc>
      </w:tr>
      <w:tr w:rsidR="00FE6701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Urbanizam I zastita sredine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660/66440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138,910.00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18,000.00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420,000.00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01" w:rsidRDefault="00FE6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586,910.00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Zdrav</w:t>
            </w:r>
            <w:r w:rsidR="009F2A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="009F2A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2,527,714.00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435,000.00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69,000.00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252,850.00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3,424,564.00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DSHMS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730/73036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59,482.00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268,482.00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GCPM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730/74600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2,468,232.00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375,000.00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252,850.00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3,156,082.00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CSR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755/75631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113,814.00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131,814.00 </w:t>
            </w:r>
          </w:p>
        </w:tc>
      </w:tr>
      <w:tr w:rsidR="009F2A9A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Kultura, omladina i sport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850/85027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309,516.00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574,516.00 </w:t>
            </w:r>
          </w:p>
        </w:tc>
      </w:tr>
      <w:tr w:rsidR="009F2A9A" w:rsidTr="0014656C">
        <w:trPr>
          <w:trHeight w:val="43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Obrazovanje i nauka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1,832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13,058,000.00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1,680,000.00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190,000.00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339,033.00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15,327,033.00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OUO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920/92135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134,000.00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339,033.00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1,500,033.00 </w:t>
            </w:r>
          </w:p>
        </w:tc>
      </w:tr>
      <w:tr w:rsidR="009F2A9A" w:rsidTr="0014656C">
        <w:trPr>
          <w:trHeight w:val="653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Predskolsko obrazovanje i obdanista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920/92730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677,000.00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938,000.00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920/93780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8,780,000.00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9,226,000.00 </w:t>
            </w:r>
          </w:p>
        </w:tc>
      </w:tr>
      <w:tr w:rsidR="009F2A9A" w:rsidTr="0014656C">
        <w:trPr>
          <w:trHeight w:val="21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920/94980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3,467,000.00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3,663,000.00 </w:t>
            </w:r>
          </w:p>
        </w:tc>
      </w:tr>
      <w:tr w:rsidR="009F2A9A" w:rsidTr="0014656C">
        <w:trPr>
          <w:trHeight w:val="247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Ukupno €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2,478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18,370,202.00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3,547,000.00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625,000.00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565,000.00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4,401,883.00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9A" w:rsidRDefault="009F2A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27,509,085.00 </w:t>
            </w:r>
          </w:p>
        </w:tc>
      </w:tr>
    </w:tbl>
    <w:p w:rsidR="006C675E" w:rsidRPr="006D2709" w:rsidRDefault="006C675E">
      <w:pPr>
        <w:rPr>
          <w:rFonts w:cs="Segoe UI"/>
          <w:highlight w:val="yellow"/>
          <w:lang w:val="de-DE"/>
        </w:rPr>
      </w:pPr>
    </w:p>
    <w:p w:rsidR="006C675E" w:rsidRPr="006D2709" w:rsidRDefault="006C675E">
      <w:pPr>
        <w:rPr>
          <w:rFonts w:cs="Segoe UI"/>
          <w:highlight w:val="yellow"/>
          <w:lang w:val="de-DE"/>
        </w:rPr>
      </w:pPr>
    </w:p>
    <w:p w:rsidR="006C675E" w:rsidRPr="006D2709" w:rsidRDefault="006C675E" w:rsidP="004E1492">
      <w:pPr>
        <w:jc w:val="both"/>
        <w:rPr>
          <w:rFonts w:cs="Segoe UI"/>
          <w:highlight w:val="yellow"/>
          <w:lang w:val="de-DE"/>
        </w:rPr>
      </w:pPr>
    </w:p>
    <w:p w:rsidR="006C675E" w:rsidRPr="006D2709" w:rsidRDefault="006C675E">
      <w:pPr>
        <w:rPr>
          <w:rFonts w:cs="Segoe UI"/>
          <w:highlight w:val="yellow"/>
          <w:lang w:val="de-DE"/>
        </w:rPr>
      </w:pPr>
    </w:p>
    <w:p w:rsidR="006C675E" w:rsidRPr="006D2709" w:rsidRDefault="006C675E">
      <w:pPr>
        <w:rPr>
          <w:rFonts w:cs="Segoe UI"/>
          <w:highlight w:val="yellow"/>
          <w:lang w:val="de-DE"/>
        </w:rPr>
      </w:pPr>
    </w:p>
    <w:p w:rsidR="006C675E" w:rsidRPr="006D2709" w:rsidRDefault="006C675E">
      <w:pPr>
        <w:rPr>
          <w:rFonts w:cs="Segoe UI"/>
          <w:highlight w:val="yellow"/>
          <w:lang w:val="de-DE"/>
        </w:rPr>
      </w:pPr>
    </w:p>
    <w:tbl>
      <w:tblPr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914"/>
        <w:gridCol w:w="521"/>
        <w:gridCol w:w="95"/>
        <w:gridCol w:w="1247"/>
        <w:gridCol w:w="1262"/>
        <w:gridCol w:w="1104"/>
        <w:gridCol w:w="1135"/>
        <w:gridCol w:w="1246"/>
        <w:gridCol w:w="1325"/>
      </w:tblGrid>
      <w:tr w:rsidR="008B7335" w:rsidTr="004E1492">
        <w:trPr>
          <w:trHeight w:val="334"/>
        </w:trPr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7335" w:rsidRPr="004E1492" w:rsidRDefault="0042704E" w:rsidP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Rana procena</w:t>
            </w:r>
            <w:r w:rsidR="004E1492" w:rsidRPr="004E1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B7335" w:rsidRPr="004E149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7335" w:rsidRDefault="008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7335" w:rsidRDefault="008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7335" w:rsidRDefault="008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7335" w:rsidRDefault="008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7335" w:rsidRDefault="008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7335" w:rsidRDefault="008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E757E" w:rsidTr="006E757E">
        <w:trPr>
          <w:trHeight w:val="10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Uprave/Programi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  Programi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Broj radnika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Plate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Robe i usluge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Opstinski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Subvencije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Kapitalni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Ukupno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€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Kancelarija Predsednika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160/16027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276,065.00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55,000.00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481,065.00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Opsta administracija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163/16327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273,279.00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350,000.00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878,279.00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Inspekcija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166/16653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143,941.00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213,941.00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Nabavka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167/16835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147,376.00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156,376.00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Skupstine opstine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169/16927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195,481.00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215,481.00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Budzet I finansije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175/17527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210,164.00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260,164.00 </w:t>
            </w:r>
          </w:p>
        </w:tc>
      </w:tr>
      <w:tr w:rsidR="003830A5" w:rsidTr="004E1492">
        <w:trPr>
          <w:trHeight w:val="6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Javne usluge, infrastruktra i stanovanje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180/18187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99,855.00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240,000.00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2,719,855.00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Zastita I spasavanje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180/18431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387,043.00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495,043.00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za zajednice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195/19635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57,811.00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63,811.00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Poljoprivreda I sum.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470/47027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163,011.00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475,011.00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Ekonomski razvoj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480/48027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94,604.00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1,036,604.00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Katastar, geodezija i imovina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650/65335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184,730.00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1,059,730.00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Urbanizam I zastita sredine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660/66440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139,605.00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18,000.00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667,605.00 </w:t>
            </w:r>
          </w:p>
        </w:tc>
      </w:tr>
      <w:tr w:rsidR="00A01EDF" w:rsidTr="004E1492">
        <w:trPr>
          <w:trHeight w:val="2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Zdravstvo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2,540,352.00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435,000.00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69,000.00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361,952.00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3,546,304.00 </w:t>
            </w:r>
          </w:p>
        </w:tc>
      </w:tr>
      <w:tr w:rsidR="00A01EDF" w:rsidTr="004E1492">
        <w:trPr>
          <w:trHeight w:val="2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DSHMS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730/73036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59,779.00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268,779.00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GCPM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730/74600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2,480,573.00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375,000.00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361,952.00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3,277,525.00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755/75631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114,383.00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132,383.00 </w:t>
            </w:r>
          </w:p>
        </w:tc>
      </w:tr>
      <w:tr w:rsidR="00A01EDF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Kultura, omladina i sport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850/85027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311,063.00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576,063.00 </w:t>
            </w:r>
          </w:p>
        </w:tc>
      </w:tr>
      <w:tr w:rsidR="00A01EDF" w:rsidTr="004E1492">
        <w:trPr>
          <w:trHeight w:val="2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Obrazovanje i nauka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1,832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13,123,290.00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1,680,000.00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190,000.00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346,833.00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15,400,123.00 </w:t>
            </w:r>
          </w:p>
        </w:tc>
      </w:tr>
      <w:tr w:rsidR="00A01EDF" w:rsidTr="004E1492">
        <w:trPr>
          <w:trHeight w:val="2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OUO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920/92135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134,670.00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1,161,670.00 </w:t>
            </w:r>
          </w:p>
        </w:tc>
      </w:tr>
      <w:tr w:rsidR="00A01EDF" w:rsidTr="004E1492">
        <w:trPr>
          <w:trHeight w:val="6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Predskolsko obrazovanje i obdanista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920/92730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680,385.00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346,833.00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1,288,218.00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920/93780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8,823,900.00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9,269,900.00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920/94980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3,484,335.00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3,680,335.00 </w:t>
            </w:r>
          </w:p>
        </w:tc>
      </w:tr>
      <w:tr w:rsidR="00A01EDF" w:rsidTr="004E1492">
        <w:trPr>
          <w:trHeight w:val="2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Ukupno €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2,459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18,462,053.00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3,547,000.00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625,000.00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565,000.00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5,178,785.00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28,377,838.00 </w:t>
            </w:r>
          </w:p>
        </w:tc>
      </w:tr>
    </w:tbl>
    <w:p w:rsidR="006C675E" w:rsidRPr="006D2709" w:rsidRDefault="006C675E">
      <w:pPr>
        <w:rPr>
          <w:rFonts w:cs="Segoe UI"/>
          <w:highlight w:val="yellow"/>
          <w:lang w:val="de-DE"/>
        </w:rPr>
      </w:pPr>
    </w:p>
    <w:p w:rsidR="006C675E" w:rsidRPr="006D2709" w:rsidRDefault="006C675E">
      <w:pPr>
        <w:rPr>
          <w:rFonts w:cs="Segoe UI"/>
          <w:highlight w:val="yellow"/>
          <w:lang w:val="de-DE"/>
        </w:rPr>
      </w:pPr>
    </w:p>
    <w:p w:rsidR="006C675E" w:rsidRDefault="006C675E">
      <w:pPr>
        <w:rPr>
          <w:rFonts w:cs="Segoe UI"/>
          <w:highlight w:val="yellow"/>
          <w:lang w:val="de-DE"/>
        </w:rPr>
      </w:pPr>
    </w:p>
    <w:p w:rsidR="0014656C" w:rsidRPr="006D2709" w:rsidRDefault="0014656C">
      <w:pPr>
        <w:rPr>
          <w:rFonts w:cs="Segoe UI"/>
          <w:highlight w:val="yellow"/>
          <w:lang w:val="de-DE"/>
        </w:rPr>
      </w:pPr>
    </w:p>
    <w:p w:rsidR="006C675E" w:rsidRPr="006D2709" w:rsidRDefault="006C675E">
      <w:pPr>
        <w:rPr>
          <w:rFonts w:cs="Segoe UI"/>
          <w:highlight w:val="yellow"/>
          <w:lang w:val="de-DE"/>
        </w:rPr>
      </w:pPr>
    </w:p>
    <w:tbl>
      <w:tblPr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914"/>
        <w:gridCol w:w="521"/>
        <w:gridCol w:w="95"/>
        <w:gridCol w:w="1247"/>
        <w:gridCol w:w="1262"/>
        <w:gridCol w:w="1104"/>
        <w:gridCol w:w="1135"/>
        <w:gridCol w:w="1246"/>
        <w:gridCol w:w="1325"/>
      </w:tblGrid>
      <w:tr w:rsidR="004E1492" w:rsidTr="004E1492">
        <w:trPr>
          <w:trHeight w:val="348"/>
        </w:trPr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1492" w:rsidRPr="004E1492" w:rsidRDefault="006E757E" w:rsidP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Rane procene</w:t>
            </w:r>
            <w:r w:rsidR="004E1492" w:rsidRPr="004E1492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1492" w:rsidRDefault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1492" w:rsidRDefault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1492" w:rsidRDefault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1492" w:rsidRDefault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1492" w:rsidRDefault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1492" w:rsidRDefault="004E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E757E" w:rsidTr="006E757E">
        <w:trPr>
          <w:trHeight w:val="10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Uprave/Programi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Uprave/  Programi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Broj radnika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Plate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Robe i usluge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Opstinski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Subvencije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Kapitalni troskovi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757E" w:rsidRPr="001C1633" w:rsidRDefault="006E757E" w:rsidP="00B3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Ukupno</w:t>
            </w:r>
            <w:r w:rsidRPr="001C1633">
              <w:rPr>
                <w:rFonts w:ascii="Arial" w:eastAsia="Times New Roman" w:hAnsi="Arial" w:cs="Arial"/>
                <w:sz w:val="16"/>
                <w:szCs w:val="16"/>
              </w:rPr>
              <w:t xml:space="preserve"> € </w:t>
            </w:r>
          </w:p>
        </w:tc>
      </w:tr>
      <w:tr w:rsidR="003830A5" w:rsidTr="004E1492">
        <w:trPr>
          <w:trHeight w:val="2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Kancelarija Predsednika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160/16027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277,445.00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55,000.00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482,445.00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Opsta administracija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163/16327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274,645.00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400,000.00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929,645.00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Inspekcija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166/16653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144,661.00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214,661.00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Nabavka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167/16835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148,113.00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157,113.00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Skupstine opstine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169/16927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196,458.00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216,458.00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Budzet I finansije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175/17527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211,215.00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261,215.00 </w:t>
            </w:r>
          </w:p>
        </w:tc>
      </w:tr>
      <w:tr w:rsidR="003830A5" w:rsidTr="004E1492">
        <w:trPr>
          <w:trHeight w:val="6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Javne usluge, infrastruktra i stanovanje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180/18187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100,354.00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240,000.00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3,120,354.00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Zastita I spasavanje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180/18431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388,978.00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496,978.00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Kancelarija za zajednice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195/19635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58,100.00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64,100.00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Poljoprivreda I sum.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470/47027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163,826.00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495,826.00 </w:t>
            </w:r>
          </w:p>
        </w:tc>
      </w:tr>
      <w:tr w:rsidR="003830A5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Ekonomski razvoj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480/48027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95,077.00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900,000.00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1,087,077.00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Katastar, geodezija i imovina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650/65335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185,654.00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967,304.00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1,177,958.00 </w:t>
            </w:r>
          </w:p>
        </w:tc>
      </w:tr>
      <w:tr w:rsidR="003830A5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Urbanizam I zastita sredine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660/66440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140,303.00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18,000.00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550,000.00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A5" w:rsidRDefault="0038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718,303.00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Zdravstvo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2,553,054.00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435,000.00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69,000.00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475,850.00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3,672,904.00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DSHMS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730/73036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60,078.00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269,078.00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GCPM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730/74600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2,492,976.00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375,000.00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475,850.00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3,403,826.00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755/75631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114,955.00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132,955.00 </w:t>
            </w:r>
          </w:p>
        </w:tc>
      </w:tr>
      <w:tr w:rsidR="00A01EDF" w:rsidTr="004E1492">
        <w:trPr>
          <w:trHeight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Kultura, omladina i sport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850/85027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312,618.00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577,618.00 </w:t>
            </w:r>
          </w:p>
        </w:tc>
      </w:tr>
      <w:tr w:rsidR="00A01EDF" w:rsidTr="004E1492">
        <w:trPr>
          <w:trHeight w:val="2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Obrazovanje i nauka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1,832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13,188,907.00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1,680,000.00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190,000.00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500,000.00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15,618,907.00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OUO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920/92135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135,343.00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60,000.00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1,162,343.00 </w:t>
            </w:r>
          </w:p>
        </w:tc>
      </w:tr>
      <w:tr w:rsidR="00A01EDF" w:rsidTr="004E1492">
        <w:trPr>
          <w:trHeight w:val="6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Predskolsko obrazovanje i obdanista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920/92730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683,787.00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31,000.00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500,000.00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1,444,787.00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920/93780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8,868,020.00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9,314,020.00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920/94980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3,501,757.00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46,000.00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3,697,757.00 </w:t>
            </w:r>
          </w:p>
        </w:tc>
      </w:tr>
      <w:tr w:rsidR="00A01EDF" w:rsidTr="004E1492">
        <w:trPr>
          <w:trHeight w:val="2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 w:rsidP="00B3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Ukupno €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2,459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18,554,363.00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3,547,000.00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625,000.00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565,000.00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6,133,154.00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F" w:rsidRDefault="00A01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29,424,517.00 </w:t>
            </w:r>
          </w:p>
        </w:tc>
      </w:tr>
    </w:tbl>
    <w:p w:rsidR="006C21AA" w:rsidRDefault="006C21AA" w:rsidP="00A47291">
      <w:pPr>
        <w:rPr>
          <w:rFonts w:cs="Segoe UI"/>
          <w:b/>
          <w:lang w:val="de-DE"/>
        </w:rPr>
      </w:pPr>
    </w:p>
    <w:p w:rsidR="006C21AA" w:rsidRDefault="006C21AA" w:rsidP="00A47291">
      <w:pPr>
        <w:rPr>
          <w:rFonts w:cs="Segoe UI"/>
          <w:b/>
          <w:lang w:val="de-DE"/>
        </w:rPr>
      </w:pPr>
    </w:p>
    <w:p w:rsidR="006C21AA" w:rsidRDefault="006C21AA" w:rsidP="00A47291">
      <w:pPr>
        <w:rPr>
          <w:rFonts w:cs="Segoe UI"/>
          <w:b/>
          <w:lang w:val="de-DE"/>
        </w:rPr>
      </w:pPr>
    </w:p>
    <w:p w:rsidR="00416AFF" w:rsidRPr="0010501C" w:rsidRDefault="00416AFF" w:rsidP="0010501C">
      <w:pPr>
        <w:jc w:val="both"/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</w:pPr>
      <w:r w:rsidRPr="0010501C">
        <w:rPr>
          <w:b/>
        </w:rPr>
        <w:br/>
      </w:r>
      <w:r w:rsidRPr="0010501C">
        <w:rPr>
          <w:rFonts w:ascii="Times New Roman" w:hAnsi="Times New Roman"/>
          <w:b/>
          <w:color w:val="222222"/>
          <w:sz w:val="24"/>
          <w:szCs w:val="19"/>
          <w:shd w:val="clear" w:color="auto" w:fill="F8F9FA"/>
        </w:rPr>
        <w:t xml:space="preserve">3.5. Nove politike </w:t>
      </w:r>
    </w:p>
    <w:p w:rsidR="00416AFF" w:rsidRPr="0010501C" w:rsidRDefault="00416AFF" w:rsidP="0010501C">
      <w:pPr>
        <w:jc w:val="both"/>
        <w:rPr>
          <w:rFonts w:ascii="Times New Roman" w:hAnsi="Times New Roman"/>
          <w:color w:val="222222"/>
          <w:sz w:val="24"/>
          <w:szCs w:val="19"/>
          <w:shd w:val="clear" w:color="auto" w:fill="F8F9FA"/>
        </w:rPr>
      </w:pPr>
      <w:r w:rsidRPr="0010501C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U smislu opštinskih prihoda u srednjoročnom periodu, opština, na osnovu razvoja iniciranih od strane centralnog nivoa, planira da uvede novi izvor opštinskih prihoda - porez na zemljište, gde se u prvoj godini 2020  planira obračunati 40% vrednosti svih zemljišta u opštini  Gnjilane, zatim 60% u 2021. </w:t>
      </w:r>
      <w:proofErr w:type="gramStart"/>
      <w:r w:rsidRPr="0010501C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godini</w:t>
      </w:r>
      <w:proofErr w:type="gramEnd"/>
      <w:r w:rsidRPr="0010501C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i tako dalje svake godine do potpunog oporezivanja i stvaranja održivog prihoda za opštinu.</w:t>
      </w:r>
    </w:p>
    <w:p w:rsidR="006C21AA" w:rsidRPr="0010501C" w:rsidRDefault="00416AFF" w:rsidP="0010501C">
      <w:pPr>
        <w:jc w:val="both"/>
        <w:rPr>
          <w:rFonts w:ascii="Times New Roman" w:hAnsi="Times New Roman"/>
          <w:b/>
          <w:sz w:val="32"/>
          <w:lang w:val="de-DE"/>
        </w:rPr>
      </w:pPr>
      <w:r w:rsidRPr="0010501C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 xml:space="preserve"> </w:t>
      </w:r>
      <w:proofErr w:type="gramStart"/>
      <w:r w:rsidRPr="0010501C">
        <w:rPr>
          <w:rFonts w:ascii="Times New Roman" w:hAnsi="Times New Roman"/>
          <w:color w:val="222222"/>
          <w:sz w:val="24"/>
          <w:szCs w:val="19"/>
          <w:shd w:val="clear" w:color="auto" w:fill="F8F9FA"/>
        </w:rPr>
        <w:t>Što se tiče rashoda, opština Gnjilane za naredni period uglavnom je orijentisana ka povećanju rashoda za opštinsku infrastrukturu, uključujući početak investicija za povećanje energetske efikasnosti u javnim zgradama.</w:t>
      </w:r>
      <w:proofErr w:type="gramEnd"/>
    </w:p>
    <w:p w:rsidR="006C21AA" w:rsidRDefault="006C21AA" w:rsidP="00A47291">
      <w:pPr>
        <w:rPr>
          <w:rFonts w:cs="Segoe UI"/>
          <w:b/>
          <w:lang w:val="de-DE"/>
        </w:rPr>
      </w:pPr>
    </w:p>
    <w:p w:rsidR="00F67AEE" w:rsidRPr="00F67AEE" w:rsidRDefault="00F67AEE" w:rsidP="00F67AEE">
      <w:pPr>
        <w:rPr>
          <w:rFonts w:cs="Segoe UI"/>
        </w:rPr>
      </w:pPr>
    </w:p>
    <w:sectPr w:rsidR="00F67AEE" w:rsidRPr="00F67AEE" w:rsidSect="001C1633">
      <w:footerReference w:type="default" r:id="rId15"/>
      <w:pgSz w:w="12240" w:h="15840"/>
      <w:pgMar w:top="1440" w:right="1440" w:bottom="144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C4" w:rsidRDefault="003F1BC4" w:rsidP="00CD7BD9">
      <w:pPr>
        <w:spacing w:after="0" w:line="240" w:lineRule="auto"/>
      </w:pPr>
      <w:r>
        <w:separator/>
      </w:r>
    </w:p>
  </w:endnote>
  <w:endnote w:type="continuationSeparator" w:id="0">
    <w:p w:rsidR="003F1BC4" w:rsidRDefault="003F1BC4" w:rsidP="00C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26" w:rsidRDefault="007153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A5F">
      <w:rPr>
        <w:noProof/>
      </w:rPr>
      <w:t>1</w:t>
    </w:r>
    <w:r>
      <w:rPr>
        <w:noProof/>
      </w:rPr>
      <w:fldChar w:fldCharType="end"/>
    </w:r>
  </w:p>
  <w:p w:rsidR="00B31D26" w:rsidRDefault="00B31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C4" w:rsidRDefault="003F1BC4" w:rsidP="00CD7BD9">
      <w:pPr>
        <w:spacing w:after="0" w:line="240" w:lineRule="auto"/>
      </w:pPr>
      <w:r>
        <w:separator/>
      </w:r>
    </w:p>
  </w:footnote>
  <w:footnote w:type="continuationSeparator" w:id="0">
    <w:p w:rsidR="003F1BC4" w:rsidRDefault="003F1BC4" w:rsidP="00C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664"/>
    <w:multiLevelType w:val="hybridMultilevel"/>
    <w:tmpl w:val="2E7CCFB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BB8324B"/>
    <w:multiLevelType w:val="hybridMultilevel"/>
    <w:tmpl w:val="7A048AD2"/>
    <w:lvl w:ilvl="0" w:tplc="6D8054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2955"/>
    <w:multiLevelType w:val="hybridMultilevel"/>
    <w:tmpl w:val="CF12968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4F177BA"/>
    <w:multiLevelType w:val="hybridMultilevel"/>
    <w:tmpl w:val="E600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411B"/>
    <w:multiLevelType w:val="hybridMultilevel"/>
    <w:tmpl w:val="F81C0058"/>
    <w:lvl w:ilvl="0" w:tplc="22F6BD5C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044C6"/>
    <w:multiLevelType w:val="hybridMultilevel"/>
    <w:tmpl w:val="CEC4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3A0B"/>
    <w:multiLevelType w:val="hybridMultilevel"/>
    <w:tmpl w:val="E53A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65D99"/>
    <w:multiLevelType w:val="hybridMultilevel"/>
    <w:tmpl w:val="175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D75E3"/>
    <w:multiLevelType w:val="hybridMultilevel"/>
    <w:tmpl w:val="9480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D48B7"/>
    <w:multiLevelType w:val="hybridMultilevel"/>
    <w:tmpl w:val="D188D17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13148"/>
    <w:multiLevelType w:val="hybridMultilevel"/>
    <w:tmpl w:val="F69C858A"/>
    <w:lvl w:ilvl="0" w:tplc="72FE1B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64E90"/>
    <w:multiLevelType w:val="hybridMultilevel"/>
    <w:tmpl w:val="4B36AFB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EC"/>
    <w:rsid w:val="00001884"/>
    <w:rsid w:val="000141A6"/>
    <w:rsid w:val="00016743"/>
    <w:rsid w:val="00020E47"/>
    <w:rsid w:val="000249B3"/>
    <w:rsid w:val="0002773F"/>
    <w:rsid w:val="00042F6E"/>
    <w:rsid w:val="00045B8D"/>
    <w:rsid w:val="00046F98"/>
    <w:rsid w:val="00054C8B"/>
    <w:rsid w:val="00061D5B"/>
    <w:rsid w:val="00063524"/>
    <w:rsid w:val="0006686D"/>
    <w:rsid w:val="00076482"/>
    <w:rsid w:val="0008003A"/>
    <w:rsid w:val="000861F9"/>
    <w:rsid w:val="00095890"/>
    <w:rsid w:val="000B4BCF"/>
    <w:rsid w:val="000C2A51"/>
    <w:rsid w:val="000C53EC"/>
    <w:rsid w:val="000D5D68"/>
    <w:rsid w:val="000E0843"/>
    <w:rsid w:val="000E37BC"/>
    <w:rsid w:val="000E5B73"/>
    <w:rsid w:val="000F2BA3"/>
    <w:rsid w:val="000F6898"/>
    <w:rsid w:val="00100BBF"/>
    <w:rsid w:val="0010501C"/>
    <w:rsid w:val="00116336"/>
    <w:rsid w:val="0012384F"/>
    <w:rsid w:val="00136B91"/>
    <w:rsid w:val="001405DE"/>
    <w:rsid w:val="001441B6"/>
    <w:rsid w:val="0014656C"/>
    <w:rsid w:val="001609BC"/>
    <w:rsid w:val="001672E4"/>
    <w:rsid w:val="00172204"/>
    <w:rsid w:val="0017422C"/>
    <w:rsid w:val="00185F0D"/>
    <w:rsid w:val="00187F60"/>
    <w:rsid w:val="0019681B"/>
    <w:rsid w:val="001A1B55"/>
    <w:rsid w:val="001A2E34"/>
    <w:rsid w:val="001A65D6"/>
    <w:rsid w:val="001B697B"/>
    <w:rsid w:val="001B6B35"/>
    <w:rsid w:val="001B6B72"/>
    <w:rsid w:val="001C1633"/>
    <w:rsid w:val="001C3D4E"/>
    <w:rsid w:val="001D36AE"/>
    <w:rsid w:val="001D47A2"/>
    <w:rsid w:val="001D5A32"/>
    <w:rsid w:val="001E2039"/>
    <w:rsid w:val="001E2861"/>
    <w:rsid w:val="001F469F"/>
    <w:rsid w:val="00201671"/>
    <w:rsid w:val="002049CD"/>
    <w:rsid w:val="00206CFB"/>
    <w:rsid w:val="00206D51"/>
    <w:rsid w:val="002115D3"/>
    <w:rsid w:val="00221085"/>
    <w:rsid w:val="002225A5"/>
    <w:rsid w:val="00227A4F"/>
    <w:rsid w:val="00234D3F"/>
    <w:rsid w:val="00247476"/>
    <w:rsid w:val="00261B90"/>
    <w:rsid w:val="00262A6F"/>
    <w:rsid w:val="00262A76"/>
    <w:rsid w:val="00263B85"/>
    <w:rsid w:val="00263FC5"/>
    <w:rsid w:val="00266CFA"/>
    <w:rsid w:val="00272F27"/>
    <w:rsid w:val="00280E5A"/>
    <w:rsid w:val="0028272E"/>
    <w:rsid w:val="0028519A"/>
    <w:rsid w:val="002876B6"/>
    <w:rsid w:val="00292E1F"/>
    <w:rsid w:val="002A0031"/>
    <w:rsid w:val="002A799D"/>
    <w:rsid w:val="002B1566"/>
    <w:rsid w:val="002B3AA7"/>
    <w:rsid w:val="002C2CF2"/>
    <w:rsid w:val="002D1A2C"/>
    <w:rsid w:val="002D37C0"/>
    <w:rsid w:val="002E2335"/>
    <w:rsid w:val="002E38C6"/>
    <w:rsid w:val="002E7F79"/>
    <w:rsid w:val="002F2886"/>
    <w:rsid w:val="002F4F5B"/>
    <w:rsid w:val="002F5195"/>
    <w:rsid w:val="002F750B"/>
    <w:rsid w:val="002F7D81"/>
    <w:rsid w:val="0030060B"/>
    <w:rsid w:val="00305B68"/>
    <w:rsid w:val="00307E74"/>
    <w:rsid w:val="0031018A"/>
    <w:rsid w:val="003365B6"/>
    <w:rsid w:val="003451C9"/>
    <w:rsid w:val="00347785"/>
    <w:rsid w:val="00353164"/>
    <w:rsid w:val="00354454"/>
    <w:rsid w:val="00354D09"/>
    <w:rsid w:val="00356DD6"/>
    <w:rsid w:val="003573C5"/>
    <w:rsid w:val="003640AA"/>
    <w:rsid w:val="00365873"/>
    <w:rsid w:val="00372B30"/>
    <w:rsid w:val="003769A3"/>
    <w:rsid w:val="00377AFE"/>
    <w:rsid w:val="0038235E"/>
    <w:rsid w:val="003830A5"/>
    <w:rsid w:val="00395117"/>
    <w:rsid w:val="00397857"/>
    <w:rsid w:val="003A7025"/>
    <w:rsid w:val="003B2457"/>
    <w:rsid w:val="003E368C"/>
    <w:rsid w:val="003E5138"/>
    <w:rsid w:val="003E7138"/>
    <w:rsid w:val="003E7A9C"/>
    <w:rsid w:val="003F1BC4"/>
    <w:rsid w:val="003F2F65"/>
    <w:rsid w:val="003F6F49"/>
    <w:rsid w:val="00400F3E"/>
    <w:rsid w:val="004028B8"/>
    <w:rsid w:val="00412A5E"/>
    <w:rsid w:val="00416AFF"/>
    <w:rsid w:val="0042704E"/>
    <w:rsid w:val="00451BE0"/>
    <w:rsid w:val="004548FF"/>
    <w:rsid w:val="0045497E"/>
    <w:rsid w:val="004556AA"/>
    <w:rsid w:val="0045743E"/>
    <w:rsid w:val="004649AE"/>
    <w:rsid w:val="00465B5F"/>
    <w:rsid w:val="00477834"/>
    <w:rsid w:val="004959E9"/>
    <w:rsid w:val="00496B44"/>
    <w:rsid w:val="00497ED0"/>
    <w:rsid w:val="004A5ECE"/>
    <w:rsid w:val="004B500D"/>
    <w:rsid w:val="004B5B00"/>
    <w:rsid w:val="004B752E"/>
    <w:rsid w:val="004C65E7"/>
    <w:rsid w:val="004C732B"/>
    <w:rsid w:val="004D5D44"/>
    <w:rsid w:val="004E1492"/>
    <w:rsid w:val="004E1B64"/>
    <w:rsid w:val="004F097E"/>
    <w:rsid w:val="004F51B0"/>
    <w:rsid w:val="0050107B"/>
    <w:rsid w:val="005039B6"/>
    <w:rsid w:val="00506CD6"/>
    <w:rsid w:val="00510CC2"/>
    <w:rsid w:val="00510E46"/>
    <w:rsid w:val="0051219B"/>
    <w:rsid w:val="00516EFB"/>
    <w:rsid w:val="00517152"/>
    <w:rsid w:val="00517ECB"/>
    <w:rsid w:val="005208B9"/>
    <w:rsid w:val="00523C38"/>
    <w:rsid w:val="00533FED"/>
    <w:rsid w:val="00535205"/>
    <w:rsid w:val="00546BD4"/>
    <w:rsid w:val="00546F24"/>
    <w:rsid w:val="00547816"/>
    <w:rsid w:val="005547D9"/>
    <w:rsid w:val="00562AC7"/>
    <w:rsid w:val="005741B5"/>
    <w:rsid w:val="00575AC5"/>
    <w:rsid w:val="00577300"/>
    <w:rsid w:val="00577874"/>
    <w:rsid w:val="0058396B"/>
    <w:rsid w:val="005931A8"/>
    <w:rsid w:val="00593CF9"/>
    <w:rsid w:val="005955FD"/>
    <w:rsid w:val="005964CC"/>
    <w:rsid w:val="00596ACD"/>
    <w:rsid w:val="005A374A"/>
    <w:rsid w:val="005A3F05"/>
    <w:rsid w:val="005A4166"/>
    <w:rsid w:val="005D4B28"/>
    <w:rsid w:val="005F034D"/>
    <w:rsid w:val="005F37FF"/>
    <w:rsid w:val="005F38F1"/>
    <w:rsid w:val="0061110D"/>
    <w:rsid w:val="00611206"/>
    <w:rsid w:val="00613526"/>
    <w:rsid w:val="006350BE"/>
    <w:rsid w:val="00635C79"/>
    <w:rsid w:val="00636BEB"/>
    <w:rsid w:val="00641CCC"/>
    <w:rsid w:val="00641EC9"/>
    <w:rsid w:val="00655675"/>
    <w:rsid w:val="006627E9"/>
    <w:rsid w:val="00674B9F"/>
    <w:rsid w:val="00674C33"/>
    <w:rsid w:val="006877F7"/>
    <w:rsid w:val="006910C7"/>
    <w:rsid w:val="006915EE"/>
    <w:rsid w:val="00693FAD"/>
    <w:rsid w:val="006A217F"/>
    <w:rsid w:val="006A5237"/>
    <w:rsid w:val="006A710E"/>
    <w:rsid w:val="006A7AF7"/>
    <w:rsid w:val="006B6371"/>
    <w:rsid w:val="006C06DC"/>
    <w:rsid w:val="006C21AA"/>
    <w:rsid w:val="006C250E"/>
    <w:rsid w:val="006C2530"/>
    <w:rsid w:val="006C675E"/>
    <w:rsid w:val="006D00BE"/>
    <w:rsid w:val="006D09EF"/>
    <w:rsid w:val="006D2709"/>
    <w:rsid w:val="006E12BB"/>
    <w:rsid w:val="006E757E"/>
    <w:rsid w:val="006F35CC"/>
    <w:rsid w:val="006F411D"/>
    <w:rsid w:val="00701554"/>
    <w:rsid w:val="007076E9"/>
    <w:rsid w:val="0071510F"/>
    <w:rsid w:val="0071530B"/>
    <w:rsid w:val="007154A9"/>
    <w:rsid w:val="00716314"/>
    <w:rsid w:val="007216DB"/>
    <w:rsid w:val="00725265"/>
    <w:rsid w:val="007269BD"/>
    <w:rsid w:val="00730756"/>
    <w:rsid w:val="00734F80"/>
    <w:rsid w:val="00750F88"/>
    <w:rsid w:val="00754177"/>
    <w:rsid w:val="007613A3"/>
    <w:rsid w:val="00761944"/>
    <w:rsid w:val="007632A5"/>
    <w:rsid w:val="00763D72"/>
    <w:rsid w:val="007728F3"/>
    <w:rsid w:val="0078102A"/>
    <w:rsid w:val="007867EB"/>
    <w:rsid w:val="00787560"/>
    <w:rsid w:val="00790E70"/>
    <w:rsid w:val="0079333F"/>
    <w:rsid w:val="007A1FDF"/>
    <w:rsid w:val="007A4650"/>
    <w:rsid w:val="007B0224"/>
    <w:rsid w:val="007B295A"/>
    <w:rsid w:val="007B325B"/>
    <w:rsid w:val="007C53C5"/>
    <w:rsid w:val="007D16CA"/>
    <w:rsid w:val="007F62FF"/>
    <w:rsid w:val="007F7636"/>
    <w:rsid w:val="00800F1F"/>
    <w:rsid w:val="00807D8E"/>
    <w:rsid w:val="008103D9"/>
    <w:rsid w:val="00813477"/>
    <w:rsid w:val="008215FA"/>
    <w:rsid w:val="00825951"/>
    <w:rsid w:val="00827C50"/>
    <w:rsid w:val="008361FE"/>
    <w:rsid w:val="00840CF2"/>
    <w:rsid w:val="008416C4"/>
    <w:rsid w:val="00841E26"/>
    <w:rsid w:val="00846045"/>
    <w:rsid w:val="00850067"/>
    <w:rsid w:val="00853AEF"/>
    <w:rsid w:val="0086064E"/>
    <w:rsid w:val="008606AB"/>
    <w:rsid w:val="00862264"/>
    <w:rsid w:val="008622F1"/>
    <w:rsid w:val="00866A10"/>
    <w:rsid w:val="0088069D"/>
    <w:rsid w:val="008833A8"/>
    <w:rsid w:val="008872F1"/>
    <w:rsid w:val="00891C5E"/>
    <w:rsid w:val="008932F6"/>
    <w:rsid w:val="00894B64"/>
    <w:rsid w:val="008A04F3"/>
    <w:rsid w:val="008A5D7F"/>
    <w:rsid w:val="008B528C"/>
    <w:rsid w:val="008B6AE5"/>
    <w:rsid w:val="008B7335"/>
    <w:rsid w:val="008C072E"/>
    <w:rsid w:val="008C46E5"/>
    <w:rsid w:val="008C5F2F"/>
    <w:rsid w:val="008D6383"/>
    <w:rsid w:val="008D64D6"/>
    <w:rsid w:val="008D78A1"/>
    <w:rsid w:val="008E063F"/>
    <w:rsid w:val="008E2E07"/>
    <w:rsid w:val="008E4687"/>
    <w:rsid w:val="008F5B3E"/>
    <w:rsid w:val="009024CE"/>
    <w:rsid w:val="00920F3C"/>
    <w:rsid w:val="00932B95"/>
    <w:rsid w:val="009354A9"/>
    <w:rsid w:val="00935667"/>
    <w:rsid w:val="009544B2"/>
    <w:rsid w:val="00956334"/>
    <w:rsid w:val="009569A0"/>
    <w:rsid w:val="0097628F"/>
    <w:rsid w:val="00990CC4"/>
    <w:rsid w:val="00994B2F"/>
    <w:rsid w:val="009A0CDE"/>
    <w:rsid w:val="009A202C"/>
    <w:rsid w:val="009A4059"/>
    <w:rsid w:val="009C3ACB"/>
    <w:rsid w:val="009C5CD8"/>
    <w:rsid w:val="009D16BF"/>
    <w:rsid w:val="009D4ADF"/>
    <w:rsid w:val="009D64E1"/>
    <w:rsid w:val="009E621E"/>
    <w:rsid w:val="009F0075"/>
    <w:rsid w:val="009F2A9A"/>
    <w:rsid w:val="009F4088"/>
    <w:rsid w:val="00A01EDF"/>
    <w:rsid w:val="00A05129"/>
    <w:rsid w:val="00A24419"/>
    <w:rsid w:val="00A24B8A"/>
    <w:rsid w:val="00A311E9"/>
    <w:rsid w:val="00A43CE6"/>
    <w:rsid w:val="00A47291"/>
    <w:rsid w:val="00A47AB1"/>
    <w:rsid w:val="00A50312"/>
    <w:rsid w:val="00A5046D"/>
    <w:rsid w:val="00A65D3E"/>
    <w:rsid w:val="00A71481"/>
    <w:rsid w:val="00A72A59"/>
    <w:rsid w:val="00A736E5"/>
    <w:rsid w:val="00A73D53"/>
    <w:rsid w:val="00A81212"/>
    <w:rsid w:val="00A856D9"/>
    <w:rsid w:val="00A86609"/>
    <w:rsid w:val="00A92C97"/>
    <w:rsid w:val="00A9415D"/>
    <w:rsid w:val="00AA04EE"/>
    <w:rsid w:val="00AA28C2"/>
    <w:rsid w:val="00AA50B6"/>
    <w:rsid w:val="00AB2165"/>
    <w:rsid w:val="00AB3AA4"/>
    <w:rsid w:val="00AB5E3A"/>
    <w:rsid w:val="00AC2F81"/>
    <w:rsid w:val="00AD2B62"/>
    <w:rsid w:val="00AD5C0D"/>
    <w:rsid w:val="00AD6111"/>
    <w:rsid w:val="00AD665A"/>
    <w:rsid w:val="00AD66CF"/>
    <w:rsid w:val="00AE7D7A"/>
    <w:rsid w:val="00AE7F75"/>
    <w:rsid w:val="00AF1D2A"/>
    <w:rsid w:val="00B04BAB"/>
    <w:rsid w:val="00B171D8"/>
    <w:rsid w:val="00B20D03"/>
    <w:rsid w:val="00B21CAF"/>
    <w:rsid w:val="00B259D0"/>
    <w:rsid w:val="00B31D26"/>
    <w:rsid w:val="00B33F61"/>
    <w:rsid w:val="00B45B79"/>
    <w:rsid w:val="00B630AE"/>
    <w:rsid w:val="00B76358"/>
    <w:rsid w:val="00B77FA3"/>
    <w:rsid w:val="00B82994"/>
    <w:rsid w:val="00B83414"/>
    <w:rsid w:val="00B90754"/>
    <w:rsid w:val="00B92AAE"/>
    <w:rsid w:val="00B933F5"/>
    <w:rsid w:val="00BA5CE4"/>
    <w:rsid w:val="00BA7A46"/>
    <w:rsid w:val="00BB0A89"/>
    <w:rsid w:val="00BB2506"/>
    <w:rsid w:val="00BB7E28"/>
    <w:rsid w:val="00BC2665"/>
    <w:rsid w:val="00BC5742"/>
    <w:rsid w:val="00BC6C02"/>
    <w:rsid w:val="00BD06AE"/>
    <w:rsid w:val="00BE6A5F"/>
    <w:rsid w:val="00BF0149"/>
    <w:rsid w:val="00BF0172"/>
    <w:rsid w:val="00C04B14"/>
    <w:rsid w:val="00C04CEF"/>
    <w:rsid w:val="00C059AB"/>
    <w:rsid w:val="00C11758"/>
    <w:rsid w:val="00C1382F"/>
    <w:rsid w:val="00C200FE"/>
    <w:rsid w:val="00C210A7"/>
    <w:rsid w:val="00C27E74"/>
    <w:rsid w:val="00C35EB8"/>
    <w:rsid w:val="00C403CC"/>
    <w:rsid w:val="00C416E9"/>
    <w:rsid w:val="00C439D7"/>
    <w:rsid w:val="00C4760D"/>
    <w:rsid w:val="00C507C0"/>
    <w:rsid w:val="00C639EC"/>
    <w:rsid w:val="00C63D6D"/>
    <w:rsid w:val="00C64157"/>
    <w:rsid w:val="00C804A2"/>
    <w:rsid w:val="00C86B75"/>
    <w:rsid w:val="00C9770F"/>
    <w:rsid w:val="00CA0711"/>
    <w:rsid w:val="00CA254C"/>
    <w:rsid w:val="00CA6CF7"/>
    <w:rsid w:val="00CA6DA1"/>
    <w:rsid w:val="00CB06C5"/>
    <w:rsid w:val="00CB0CFE"/>
    <w:rsid w:val="00CB2A56"/>
    <w:rsid w:val="00CB6ED1"/>
    <w:rsid w:val="00CC04FF"/>
    <w:rsid w:val="00CC15A4"/>
    <w:rsid w:val="00CD23F8"/>
    <w:rsid w:val="00CD7BD9"/>
    <w:rsid w:val="00CE12F8"/>
    <w:rsid w:val="00CE14A9"/>
    <w:rsid w:val="00CF0C78"/>
    <w:rsid w:val="00CF48FA"/>
    <w:rsid w:val="00D01EDA"/>
    <w:rsid w:val="00D1518D"/>
    <w:rsid w:val="00D169AB"/>
    <w:rsid w:val="00D2250F"/>
    <w:rsid w:val="00D22DD0"/>
    <w:rsid w:val="00D34ACF"/>
    <w:rsid w:val="00D36942"/>
    <w:rsid w:val="00D41EA1"/>
    <w:rsid w:val="00D43254"/>
    <w:rsid w:val="00D45D0E"/>
    <w:rsid w:val="00D46B0C"/>
    <w:rsid w:val="00D47E53"/>
    <w:rsid w:val="00D54B1C"/>
    <w:rsid w:val="00D654EC"/>
    <w:rsid w:val="00D66E09"/>
    <w:rsid w:val="00D71303"/>
    <w:rsid w:val="00D80D62"/>
    <w:rsid w:val="00D91108"/>
    <w:rsid w:val="00D94F3E"/>
    <w:rsid w:val="00DA260D"/>
    <w:rsid w:val="00DC3B0A"/>
    <w:rsid w:val="00DC722E"/>
    <w:rsid w:val="00DD230A"/>
    <w:rsid w:val="00DD59BE"/>
    <w:rsid w:val="00DE562B"/>
    <w:rsid w:val="00DF20D6"/>
    <w:rsid w:val="00DF221F"/>
    <w:rsid w:val="00DF3A67"/>
    <w:rsid w:val="00E22D90"/>
    <w:rsid w:val="00E274DC"/>
    <w:rsid w:val="00E32BA3"/>
    <w:rsid w:val="00E41880"/>
    <w:rsid w:val="00E4209C"/>
    <w:rsid w:val="00E445AA"/>
    <w:rsid w:val="00E45C1E"/>
    <w:rsid w:val="00E46894"/>
    <w:rsid w:val="00E524DB"/>
    <w:rsid w:val="00E5748B"/>
    <w:rsid w:val="00E611CE"/>
    <w:rsid w:val="00E74864"/>
    <w:rsid w:val="00E77C0E"/>
    <w:rsid w:val="00E83C66"/>
    <w:rsid w:val="00E90114"/>
    <w:rsid w:val="00E94928"/>
    <w:rsid w:val="00EA1923"/>
    <w:rsid w:val="00EA566F"/>
    <w:rsid w:val="00EB19F5"/>
    <w:rsid w:val="00EB3985"/>
    <w:rsid w:val="00EB4850"/>
    <w:rsid w:val="00EB6D67"/>
    <w:rsid w:val="00EC123F"/>
    <w:rsid w:val="00EC32AC"/>
    <w:rsid w:val="00EC5A55"/>
    <w:rsid w:val="00ED5112"/>
    <w:rsid w:val="00ED7C44"/>
    <w:rsid w:val="00EF01BF"/>
    <w:rsid w:val="00F032B5"/>
    <w:rsid w:val="00F10C21"/>
    <w:rsid w:val="00F13852"/>
    <w:rsid w:val="00F14F61"/>
    <w:rsid w:val="00F203F4"/>
    <w:rsid w:val="00F22ED1"/>
    <w:rsid w:val="00F26257"/>
    <w:rsid w:val="00F34437"/>
    <w:rsid w:val="00F36DEE"/>
    <w:rsid w:val="00F46D6F"/>
    <w:rsid w:val="00F536A0"/>
    <w:rsid w:val="00F652F3"/>
    <w:rsid w:val="00F65AFF"/>
    <w:rsid w:val="00F67AEE"/>
    <w:rsid w:val="00F74341"/>
    <w:rsid w:val="00F85CB2"/>
    <w:rsid w:val="00FA0599"/>
    <w:rsid w:val="00FA621A"/>
    <w:rsid w:val="00FB5D6B"/>
    <w:rsid w:val="00FC342A"/>
    <w:rsid w:val="00FC68D2"/>
    <w:rsid w:val="00FC695F"/>
    <w:rsid w:val="00FC6EFF"/>
    <w:rsid w:val="00FD047C"/>
    <w:rsid w:val="00FD6433"/>
    <w:rsid w:val="00FE46BE"/>
    <w:rsid w:val="00FE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80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457"/>
    <w:pPr>
      <w:keepNext/>
      <w:keepLines/>
      <w:spacing w:before="320" w:after="0" w:line="240" w:lineRule="auto"/>
      <w:jc w:val="both"/>
      <w:outlineLvl w:val="0"/>
    </w:pPr>
    <w:rPr>
      <w:rFonts w:eastAsia="Times New Roman"/>
      <w:b/>
      <w:color w:val="A8422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57"/>
    <w:pPr>
      <w:keepNext/>
      <w:keepLines/>
      <w:spacing w:before="80" w:after="0" w:line="240" w:lineRule="auto"/>
      <w:jc w:val="both"/>
      <w:outlineLvl w:val="1"/>
    </w:pPr>
    <w:rPr>
      <w:rFonts w:eastAsia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457"/>
    <w:pPr>
      <w:keepNext/>
      <w:keepLines/>
      <w:spacing w:before="40" w:after="0" w:line="240" w:lineRule="auto"/>
      <w:jc w:val="both"/>
      <w:outlineLvl w:val="2"/>
    </w:pPr>
    <w:rPr>
      <w:rFonts w:eastAsia="Times New Roman"/>
      <w:color w:val="646B8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4"/>
    </w:pPr>
    <w:rPr>
      <w:rFonts w:eastAsia="Times New Roman"/>
      <w:color w:val="646B8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5"/>
    </w:pPr>
    <w:rPr>
      <w:rFonts w:eastAsia="Times New Roman"/>
      <w:i/>
      <w:iCs/>
      <w:color w:val="646B8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6"/>
    </w:pPr>
    <w:rPr>
      <w:rFonts w:eastAsia="Times New Roman"/>
      <w:i/>
      <w:iCs/>
      <w:color w:val="702C1C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7"/>
    </w:pPr>
    <w:rPr>
      <w:rFonts w:eastAsia="Times New Roman"/>
      <w:b/>
      <w:bCs/>
      <w:color w:val="646B8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8"/>
    </w:pPr>
    <w:rPr>
      <w:rFonts w:eastAsia="Times New Roman"/>
      <w:b/>
      <w:bCs/>
      <w:i/>
      <w:iCs/>
      <w:color w:val="646B8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57"/>
    <w:rPr>
      <w:rFonts w:ascii="Segoe UI" w:eastAsia="Times New Roman" w:hAnsi="Segoe UI" w:cs="Times New Roman"/>
      <w:b/>
      <w:color w:val="A842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57"/>
    <w:rPr>
      <w:rFonts w:ascii="Segoe UI" w:eastAsia="Times New Roman" w:hAnsi="Segoe UI" w:cs="Times New Roman"/>
      <w:color w:val="40404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CD7BD9"/>
    <w:pPr>
      <w:tabs>
        <w:tab w:val="center" w:pos="4320"/>
        <w:tab w:val="right" w:pos="8640"/>
      </w:tabs>
      <w:spacing w:after="0" w:line="240" w:lineRule="auto"/>
    </w:pPr>
    <w:rPr>
      <w:rFonts w:ascii="Monotype Corsiva" w:eastAsia="MS Mincho" w:hAnsi="Monotype Corsiva"/>
      <w:b/>
      <w:i/>
      <w:sz w:val="32"/>
      <w:szCs w:val="20"/>
      <w:lang w:val="sq-AL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D7BD9"/>
    <w:rPr>
      <w:rFonts w:ascii="Monotype Corsiva" w:eastAsia="MS Mincho" w:hAnsi="Monotype Corsiva" w:cs="Times New Roman"/>
      <w:b/>
      <w:i/>
      <w:sz w:val="32"/>
      <w:szCs w:val="20"/>
      <w:lang w:val="sq-AL"/>
    </w:rPr>
  </w:style>
  <w:style w:type="character" w:customStyle="1" w:styleId="HeaderChar">
    <w:name w:val="Header Char"/>
    <w:basedOn w:val="DefaultParagraphFont"/>
    <w:uiPriority w:val="99"/>
    <w:semiHidden/>
    <w:rsid w:val="00CD7BD9"/>
  </w:style>
  <w:style w:type="paragraph" w:styleId="FootnoteText">
    <w:name w:val="footnote text"/>
    <w:aliases w:val="single space,fn,FOOTNOTES,Fußnotentext Char,ADB,Footnote text,ft,Footnote Text Char1,Footnote Text Char2 Char,Footnote Text Char1 Char Char,Footnote Text Char2 Char Char Char,Footnote Text Char1 Char,Footno"/>
    <w:basedOn w:val="Normal"/>
    <w:link w:val="FootnoteTextChar2"/>
    <w:uiPriority w:val="99"/>
    <w:rsid w:val="00CD7BD9"/>
    <w:pPr>
      <w:spacing w:after="0" w:line="240" w:lineRule="auto"/>
    </w:pPr>
    <w:rPr>
      <w:rFonts w:ascii="Times New Roman" w:eastAsia="MS Mincho" w:hAnsi="Times New Roman"/>
      <w:sz w:val="20"/>
      <w:szCs w:val="20"/>
      <w:lang w:val="sq-AL" w:eastAsia="x-none"/>
    </w:rPr>
  </w:style>
  <w:style w:type="character" w:customStyle="1" w:styleId="FootnoteTextChar2">
    <w:name w:val="Footnote Text Char2"/>
    <w:aliases w:val="single space Char,fn Char,FOOTNOTES Char,Fußnotentext Char Char,ADB Char,Footnote text Char,ft Char,Footnote Text Char1 Char1,Footnote Text Char2 Char Char,Footnote Text Char1 Char Char Char,Footnote Text Char2 Char Char Char Char"/>
    <w:link w:val="FootnoteText"/>
    <w:uiPriority w:val="99"/>
    <w:locked/>
    <w:rsid w:val="00CD7BD9"/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uiPriority w:val="99"/>
    <w:semiHidden/>
    <w:rsid w:val="00CD7BD9"/>
    <w:rPr>
      <w:sz w:val="20"/>
      <w:szCs w:val="20"/>
    </w:rPr>
  </w:style>
  <w:style w:type="character" w:styleId="FootnoteReference">
    <w:name w:val="footnote reference"/>
    <w:aliases w:val="ftref"/>
    <w:basedOn w:val="DefaultParagraphFont"/>
    <w:uiPriority w:val="99"/>
    <w:rsid w:val="00CD7BD9"/>
    <w:rPr>
      <w:rFonts w:cs="Times New Roman"/>
      <w:vertAlign w:val="superscript"/>
    </w:rPr>
  </w:style>
  <w:style w:type="paragraph" w:customStyle="1" w:styleId="ecxmsonormal">
    <w:name w:val="ecxmsonormal"/>
    <w:basedOn w:val="Normal"/>
    <w:uiPriority w:val="99"/>
    <w:rsid w:val="00CD7BD9"/>
    <w:pPr>
      <w:spacing w:after="324" w:line="240" w:lineRule="auto"/>
    </w:pPr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54"/>
  </w:style>
  <w:style w:type="table" w:customStyle="1" w:styleId="ListTable3-Accent11">
    <w:name w:val="List Table 3 - Accent 11"/>
    <w:basedOn w:val="TableNormal"/>
    <w:next w:val="ListTable3-Accent12"/>
    <w:uiPriority w:val="48"/>
    <w:rsid w:val="00730756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730756"/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D16349"/>
      </w:tcPr>
    </w:tblStylePr>
    <w:tblStylePr w:type="lastRow">
      <w:rPr>
        <w:b/>
        <w:bCs/>
      </w:rPr>
      <w:tblPr/>
      <w:tcPr>
        <w:tcBorders>
          <w:top w:val="double" w:sz="4" w:space="0" w:color="D1634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tblPr/>
      <w:tcPr>
        <w:tcBorders>
          <w:top w:val="single" w:sz="4" w:space="0" w:color="D16349"/>
          <w:bottom w:val="single" w:sz="4" w:space="0" w:color="D1634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6349"/>
          <w:left w:val="nil"/>
        </w:tcBorders>
      </w:tcPr>
    </w:tblStylePr>
    <w:tblStylePr w:type="swCell">
      <w:tblPr/>
      <w:tcPr>
        <w:tcBorders>
          <w:top w:val="double" w:sz="4" w:space="0" w:color="D16349"/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3075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B2457"/>
    <w:rPr>
      <w:rFonts w:ascii="Segoe UI" w:eastAsia="Times New Roman" w:hAnsi="Segoe UI" w:cs="Times New Roman"/>
      <w:color w:val="646B8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57"/>
    <w:rPr>
      <w:rFonts w:ascii="Segoe UI" w:eastAsia="Times New Roman" w:hAnsi="Segoe U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57"/>
    <w:rPr>
      <w:rFonts w:ascii="Segoe UI" w:eastAsia="Times New Roman" w:hAnsi="Segoe UI" w:cs="Times New Roman"/>
      <w:color w:val="646B8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57"/>
    <w:rPr>
      <w:rFonts w:ascii="Segoe UI" w:eastAsia="Times New Roman" w:hAnsi="Segoe UI" w:cs="Times New Roman"/>
      <w:i/>
      <w:iCs/>
      <w:color w:val="646B8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57"/>
    <w:rPr>
      <w:rFonts w:ascii="Segoe UI" w:eastAsia="Times New Roman" w:hAnsi="Segoe UI" w:cs="Times New Roman"/>
      <w:i/>
      <w:iCs/>
      <w:color w:val="702C1C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57"/>
    <w:rPr>
      <w:rFonts w:ascii="Segoe UI" w:eastAsia="Times New Roman" w:hAnsi="Segoe UI" w:cs="Times New Roman"/>
      <w:b/>
      <w:bCs/>
      <w:color w:val="646B8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57"/>
    <w:rPr>
      <w:rFonts w:ascii="Segoe UI" w:eastAsia="Times New Roman" w:hAnsi="Segoe UI" w:cs="Times New Roman"/>
      <w:b/>
      <w:bCs/>
      <w:i/>
      <w:iCs/>
      <w:color w:val="646B8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2457"/>
    <w:pPr>
      <w:spacing w:after="0" w:line="240" w:lineRule="auto"/>
      <w:contextualSpacing/>
      <w:jc w:val="both"/>
    </w:pPr>
    <w:rPr>
      <w:rFonts w:eastAsia="Times New Roman"/>
      <w:color w:val="D16349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457"/>
    <w:rPr>
      <w:rFonts w:ascii="Segoe UI" w:eastAsia="Times New Roman" w:hAnsi="Segoe UI" w:cs="Times New Roman"/>
      <w:color w:val="D16349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57"/>
    <w:pPr>
      <w:numPr>
        <w:ilvl w:val="1"/>
      </w:numPr>
      <w:spacing w:after="120" w:line="240" w:lineRule="auto"/>
      <w:jc w:val="both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2457"/>
    <w:rPr>
      <w:rFonts w:ascii="Segoe UI" w:eastAsia="Times New Roman" w:hAnsi="Segoe U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457"/>
    <w:rPr>
      <w:b/>
      <w:bCs/>
    </w:rPr>
  </w:style>
  <w:style w:type="character" w:styleId="Emphasis">
    <w:name w:val="Emphasis"/>
    <w:basedOn w:val="DefaultParagraphFont"/>
    <w:uiPriority w:val="20"/>
    <w:qFormat/>
    <w:rsid w:val="003B2457"/>
    <w:rPr>
      <w:i/>
      <w:iCs/>
    </w:rPr>
  </w:style>
  <w:style w:type="paragraph" w:styleId="NoSpacing">
    <w:name w:val="No Spacing"/>
    <w:uiPriority w:val="1"/>
    <w:qFormat/>
    <w:rsid w:val="003B2457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B2457"/>
    <w:pPr>
      <w:spacing w:before="160" w:after="120" w:line="264" w:lineRule="auto"/>
      <w:ind w:left="720" w:right="720"/>
      <w:jc w:val="both"/>
    </w:pPr>
    <w:rPr>
      <w:rFonts w:eastAsia="Times New Roman"/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B2457"/>
    <w:rPr>
      <w:rFonts w:eastAsia="Times New Roman"/>
      <w:i/>
      <w:iCs/>
      <w:color w:val="40404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57"/>
    <w:pPr>
      <w:pBdr>
        <w:left w:val="single" w:sz="18" w:space="12" w:color="D16349"/>
      </w:pBdr>
      <w:spacing w:before="100" w:beforeAutospacing="1" w:after="120" w:line="300" w:lineRule="auto"/>
      <w:ind w:left="1224" w:right="1224"/>
      <w:jc w:val="both"/>
    </w:pPr>
    <w:rPr>
      <w:rFonts w:eastAsia="Times New Roman"/>
      <w:color w:val="D16349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57"/>
    <w:rPr>
      <w:rFonts w:ascii="Segoe UI" w:eastAsia="Times New Roman" w:hAnsi="Segoe UI" w:cs="Times New Roman"/>
      <w:color w:val="D16349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2457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sid w:val="003B24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2457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B245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2457"/>
    <w:rPr>
      <w:b/>
      <w:bCs/>
      <w:smallCaps/>
    </w:rPr>
  </w:style>
  <w:style w:type="paragraph" w:customStyle="1" w:styleId="xl67">
    <w:name w:val="xl67"/>
    <w:basedOn w:val="Normal"/>
    <w:rsid w:val="003B2457"/>
    <w:pPr>
      <w:spacing w:before="100" w:beforeAutospacing="1" w:after="100" w:afterAutospacing="1" w:line="240" w:lineRule="auto"/>
      <w:jc w:val="both"/>
    </w:pPr>
    <w:rPr>
      <w:rFonts w:eastAsia="Times New Roman" w:cs="Segoe UI"/>
      <w:sz w:val="20"/>
      <w:szCs w:val="20"/>
    </w:rPr>
  </w:style>
  <w:style w:type="paragraph" w:customStyle="1" w:styleId="xl68">
    <w:name w:val="xl68"/>
    <w:basedOn w:val="Normal"/>
    <w:rsid w:val="003B2457"/>
    <w:pPr>
      <w:pBdr>
        <w:left w:val="single" w:sz="4" w:space="7" w:color="auto"/>
        <w:bottom w:val="dashed" w:sz="4" w:space="0" w:color="auto"/>
      </w:pBdr>
      <w:spacing w:before="100" w:beforeAutospacing="1" w:after="100" w:afterAutospacing="1" w:line="240" w:lineRule="auto"/>
      <w:ind w:firstLineChars="100" w:firstLine="100"/>
      <w:jc w:val="both"/>
    </w:pPr>
    <w:rPr>
      <w:rFonts w:eastAsia="Times New Roman" w:cs="Segoe UI"/>
      <w:sz w:val="20"/>
      <w:szCs w:val="20"/>
    </w:rPr>
  </w:style>
  <w:style w:type="paragraph" w:customStyle="1" w:styleId="xl69">
    <w:name w:val="xl69"/>
    <w:basedOn w:val="Normal"/>
    <w:rsid w:val="003B2457"/>
    <w:pPr>
      <w:pBdr>
        <w:top w:val="dashed" w:sz="4" w:space="0" w:color="auto"/>
        <w:left w:val="single" w:sz="4" w:space="7" w:color="auto"/>
        <w:bottom w:val="dashed" w:sz="4" w:space="0" w:color="auto"/>
      </w:pBdr>
      <w:spacing w:before="100" w:beforeAutospacing="1" w:after="100" w:afterAutospacing="1" w:line="240" w:lineRule="auto"/>
      <w:ind w:firstLineChars="100" w:firstLine="100"/>
      <w:jc w:val="both"/>
    </w:pPr>
    <w:rPr>
      <w:rFonts w:eastAsia="Times New Roman" w:cs="Segoe UI"/>
      <w:sz w:val="20"/>
      <w:szCs w:val="20"/>
    </w:rPr>
  </w:style>
  <w:style w:type="paragraph" w:customStyle="1" w:styleId="xl70">
    <w:name w:val="xl70"/>
    <w:basedOn w:val="Normal"/>
    <w:rsid w:val="003B2457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71">
    <w:name w:val="xl71"/>
    <w:basedOn w:val="Normal"/>
    <w:rsid w:val="003B2457"/>
    <w:pPr>
      <w:pBdr>
        <w:top w:val="dashed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both"/>
    </w:pPr>
    <w:rPr>
      <w:rFonts w:eastAsia="Times New Roman" w:cs="Segoe UI"/>
      <w:sz w:val="20"/>
      <w:szCs w:val="20"/>
    </w:rPr>
  </w:style>
  <w:style w:type="paragraph" w:customStyle="1" w:styleId="xl72">
    <w:name w:val="xl72"/>
    <w:basedOn w:val="Normal"/>
    <w:rsid w:val="003B2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Segoe UI"/>
      <w:b/>
      <w:bCs/>
      <w:sz w:val="20"/>
      <w:szCs w:val="20"/>
    </w:rPr>
  </w:style>
  <w:style w:type="paragraph" w:customStyle="1" w:styleId="xl73">
    <w:name w:val="xl73"/>
    <w:basedOn w:val="Normal"/>
    <w:rsid w:val="003B24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b/>
      <w:bCs/>
      <w:sz w:val="20"/>
      <w:szCs w:val="20"/>
    </w:rPr>
  </w:style>
  <w:style w:type="paragraph" w:customStyle="1" w:styleId="xl74">
    <w:name w:val="xl74"/>
    <w:basedOn w:val="Normal"/>
    <w:rsid w:val="003B2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b/>
      <w:bCs/>
      <w:sz w:val="20"/>
      <w:szCs w:val="20"/>
    </w:rPr>
  </w:style>
  <w:style w:type="paragraph" w:customStyle="1" w:styleId="xl75">
    <w:name w:val="xl75"/>
    <w:basedOn w:val="Normal"/>
    <w:rsid w:val="003B2457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sz w:val="20"/>
      <w:szCs w:val="20"/>
    </w:rPr>
  </w:style>
  <w:style w:type="paragraph" w:customStyle="1" w:styleId="xl76">
    <w:name w:val="xl76"/>
    <w:basedOn w:val="Normal"/>
    <w:rsid w:val="003B2457"/>
    <w:pPr>
      <w:pBdr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sz w:val="20"/>
      <w:szCs w:val="20"/>
    </w:rPr>
  </w:style>
  <w:style w:type="paragraph" w:customStyle="1" w:styleId="xl77">
    <w:name w:val="xl77"/>
    <w:basedOn w:val="Normal"/>
    <w:rsid w:val="003B2457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78">
    <w:name w:val="xl78"/>
    <w:basedOn w:val="Normal"/>
    <w:rsid w:val="003B2457"/>
    <w:pPr>
      <w:pBdr>
        <w:top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79">
    <w:name w:val="xl79"/>
    <w:basedOn w:val="Normal"/>
    <w:rsid w:val="003B2457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80">
    <w:name w:val="xl80"/>
    <w:basedOn w:val="Normal"/>
    <w:rsid w:val="003B2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Segoe UI"/>
      <w:b/>
      <w:bCs/>
      <w:sz w:val="20"/>
      <w:szCs w:val="20"/>
    </w:rPr>
  </w:style>
  <w:style w:type="paragraph" w:customStyle="1" w:styleId="xl81">
    <w:name w:val="xl81"/>
    <w:basedOn w:val="Normal"/>
    <w:rsid w:val="003B2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2457"/>
    <w:pPr>
      <w:spacing w:after="120" w:line="264" w:lineRule="auto"/>
      <w:ind w:left="720"/>
      <w:contextualSpacing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00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B2165"/>
    <w:pPr>
      <w:spacing w:after="0" w:line="240" w:lineRule="auto"/>
    </w:pPr>
    <w:rPr>
      <w:i/>
      <w:iCs/>
      <w:color w:val="702C1C"/>
      <w:sz w:val="20"/>
      <w:szCs w:val="18"/>
    </w:rPr>
  </w:style>
  <w:style w:type="paragraph" w:styleId="NormalWeb">
    <w:name w:val="Normal (Web)"/>
    <w:basedOn w:val="Normal"/>
    <w:uiPriority w:val="99"/>
    <w:unhideWhenUsed/>
    <w:rsid w:val="00C507C0"/>
    <w:rPr>
      <w:rFonts w:ascii="Times New Roman" w:eastAsia="MS Mincho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A4650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650"/>
    <w:rPr>
      <w:rFonts w:ascii="Times New Roman" w:eastAsia="Times New Roman" w:hAnsi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A5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457"/>
    <w:pPr>
      <w:keepNext/>
      <w:keepLines/>
      <w:spacing w:before="320" w:after="0" w:line="240" w:lineRule="auto"/>
      <w:jc w:val="both"/>
      <w:outlineLvl w:val="0"/>
    </w:pPr>
    <w:rPr>
      <w:rFonts w:eastAsia="Times New Roman"/>
      <w:b/>
      <w:color w:val="A8422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57"/>
    <w:pPr>
      <w:keepNext/>
      <w:keepLines/>
      <w:spacing w:before="80" w:after="0" w:line="240" w:lineRule="auto"/>
      <w:jc w:val="both"/>
      <w:outlineLvl w:val="1"/>
    </w:pPr>
    <w:rPr>
      <w:rFonts w:eastAsia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457"/>
    <w:pPr>
      <w:keepNext/>
      <w:keepLines/>
      <w:spacing w:before="40" w:after="0" w:line="240" w:lineRule="auto"/>
      <w:jc w:val="both"/>
      <w:outlineLvl w:val="2"/>
    </w:pPr>
    <w:rPr>
      <w:rFonts w:eastAsia="Times New Roman"/>
      <w:color w:val="646B8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4"/>
    </w:pPr>
    <w:rPr>
      <w:rFonts w:eastAsia="Times New Roman"/>
      <w:color w:val="646B8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5"/>
    </w:pPr>
    <w:rPr>
      <w:rFonts w:eastAsia="Times New Roman"/>
      <w:i/>
      <w:iCs/>
      <w:color w:val="646B8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6"/>
    </w:pPr>
    <w:rPr>
      <w:rFonts w:eastAsia="Times New Roman"/>
      <w:i/>
      <w:iCs/>
      <w:color w:val="702C1C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7"/>
    </w:pPr>
    <w:rPr>
      <w:rFonts w:eastAsia="Times New Roman"/>
      <w:b/>
      <w:bCs/>
      <w:color w:val="646B8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57"/>
    <w:pPr>
      <w:keepNext/>
      <w:keepLines/>
      <w:spacing w:before="40" w:after="0" w:line="264" w:lineRule="auto"/>
      <w:jc w:val="both"/>
      <w:outlineLvl w:val="8"/>
    </w:pPr>
    <w:rPr>
      <w:rFonts w:eastAsia="Times New Roman"/>
      <w:b/>
      <w:bCs/>
      <w:i/>
      <w:iCs/>
      <w:color w:val="646B8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57"/>
    <w:rPr>
      <w:rFonts w:ascii="Segoe UI" w:eastAsia="Times New Roman" w:hAnsi="Segoe UI" w:cs="Times New Roman"/>
      <w:b/>
      <w:color w:val="A842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57"/>
    <w:rPr>
      <w:rFonts w:ascii="Segoe UI" w:eastAsia="Times New Roman" w:hAnsi="Segoe UI" w:cs="Times New Roman"/>
      <w:color w:val="40404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CD7BD9"/>
    <w:pPr>
      <w:tabs>
        <w:tab w:val="center" w:pos="4320"/>
        <w:tab w:val="right" w:pos="8640"/>
      </w:tabs>
      <w:spacing w:after="0" w:line="240" w:lineRule="auto"/>
    </w:pPr>
    <w:rPr>
      <w:rFonts w:ascii="Monotype Corsiva" w:eastAsia="MS Mincho" w:hAnsi="Monotype Corsiva"/>
      <w:b/>
      <w:i/>
      <w:sz w:val="32"/>
      <w:szCs w:val="20"/>
      <w:lang w:val="sq-AL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D7BD9"/>
    <w:rPr>
      <w:rFonts w:ascii="Monotype Corsiva" w:eastAsia="MS Mincho" w:hAnsi="Monotype Corsiva" w:cs="Times New Roman"/>
      <w:b/>
      <w:i/>
      <w:sz w:val="32"/>
      <w:szCs w:val="20"/>
      <w:lang w:val="sq-AL"/>
    </w:rPr>
  </w:style>
  <w:style w:type="character" w:customStyle="1" w:styleId="HeaderChar">
    <w:name w:val="Header Char"/>
    <w:basedOn w:val="DefaultParagraphFont"/>
    <w:uiPriority w:val="99"/>
    <w:semiHidden/>
    <w:rsid w:val="00CD7BD9"/>
  </w:style>
  <w:style w:type="paragraph" w:styleId="FootnoteText">
    <w:name w:val="footnote text"/>
    <w:aliases w:val="single space,fn,FOOTNOTES,Fußnotentext Char,ADB,Footnote text,ft,Footnote Text Char1,Footnote Text Char2 Char,Footnote Text Char1 Char Char,Footnote Text Char2 Char Char Char,Footnote Text Char1 Char,Footno"/>
    <w:basedOn w:val="Normal"/>
    <w:link w:val="FootnoteTextChar2"/>
    <w:uiPriority w:val="99"/>
    <w:rsid w:val="00CD7BD9"/>
    <w:pPr>
      <w:spacing w:after="0" w:line="240" w:lineRule="auto"/>
    </w:pPr>
    <w:rPr>
      <w:rFonts w:ascii="Times New Roman" w:eastAsia="MS Mincho" w:hAnsi="Times New Roman"/>
      <w:sz w:val="20"/>
      <w:szCs w:val="20"/>
      <w:lang w:val="sq-AL" w:eastAsia="x-none"/>
    </w:rPr>
  </w:style>
  <w:style w:type="character" w:customStyle="1" w:styleId="FootnoteTextChar2">
    <w:name w:val="Footnote Text Char2"/>
    <w:aliases w:val="single space Char,fn Char,FOOTNOTES Char,Fußnotentext Char Char,ADB Char,Footnote text Char,ft Char,Footnote Text Char1 Char1,Footnote Text Char2 Char Char,Footnote Text Char1 Char Char Char,Footnote Text Char2 Char Char Char Char"/>
    <w:link w:val="FootnoteText"/>
    <w:uiPriority w:val="99"/>
    <w:locked/>
    <w:rsid w:val="00CD7BD9"/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uiPriority w:val="99"/>
    <w:semiHidden/>
    <w:rsid w:val="00CD7BD9"/>
    <w:rPr>
      <w:sz w:val="20"/>
      <w:szCs w:val="20"/>
    </w:rPr>
  </w:style>
  <w:style w:type="character" w:styleId="FootnoteReference">
    <w:name w:val="footnote reference"/>
    <w:aliases w:val="ftref"/>
    <w:basedOn w:val="DefaultParagraphFont"/>
    <w:uiPriority w:val="99"/>
    <w:rsid w:val="00CD7BD9"/>
    <w:rPr>
      <w:rFonts w:cs="Times New Roman"/>
      <w:vertAlign w:val="superscript"/>
    </w:rPr>
  </w:style>
  <w:style w:type="paragraph" w:customStyle="1" w:styleId="ecxmsonormal">
    <w:name w:val="ecxmsonormal"/>
    <w:basedOn w:val="Normal"/>
    <w:uiPriority w:val="99"/>
    <w:rsid w:val="00CD7BD9"/>
    <w:pPr>
      <w:spacing w:after="324" w:line="240" w:lineRule="auto"/>
    </w:pPr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54"/>
  </w:style>
  <w:style w:type="table" w:customStyle="1" w:styleId="ListTable3-Accent11">
    <w:name w:val="List Table 3 - Accent 11"/>
    <w:basedOn w:val="TableNormal"/>
    <w:next w:val="ListTable3-Accent12"/>
    <w:uiPriority w:val="48"/>
    <w:rsid w:val="00730756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730756"/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D16349"/>
      </w:tcPr>
    </w:tblStylePr>
    <w:tblStylePr w:type="lastRow">
      <w:rPr>
        <w:b/>
        <w:bCs/>
      </w:rPr>
      <w:tblPr/>
      <w:tcPr>
        <w:tcBorders>
          <w:top w:val="double" w:sz="4" w:space="0" w:color="D1634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tblPr/>
      <w:tcPr>
        <w:tcBorders>
          <w:top w:val="single" w:sz="4" w:space="0" w:color="D16349"/>
          <w:bottom w:val="single" w:sz="4" w:space="0" w:color="D1634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6349"/>
          <w:left w:val="nil"/>
        </w:tcBorders>
      </w:tcPr>
    </w:tblStylePr>
    <w:tblStylePr w:type="swCell">
      <w:tblPr/>
      <w:tcPr>
        <w:tcBorders>
          <w:top w:val="double" w:sz="4" w:space="0" w:color="D16349"/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3075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B2457"/>
    <w:rPr>
      <w:rFonts w:ascii="Segoe UI" w:eastAsia="Times New Roman" w:hAnsi="Segoe UI" w:cs="Times New Roman"/>
      <w:color w:val="646B8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57"/>
    <w:rPr>
      <w:rFonts w:ascii="Segoe UI" w:eastAsia="Times New Roman" w:hAnsi="Segoe U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57"/>
    <w:rPr>
      <w:rFonts w:ascii="Segoe UI" w:eastAsia="Times New Roman" w:hAnsi="Segoe UI" w:cs="Times New Roman"/>
      <w:color w:val="646B8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57"/>
    <w:rPr>
      <w:rFonts w:ascii="Segoe UI" w:eastAsia="Times New Roman" w:hAnsi="Segoe UI" w:cs="Times New Roman"/>
      <w:i/>
      <w:iCs/>
      <w:color w:val="646B8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57"/>
    <w:rPr>
      <w:rFonts w:ascii="Segoe UI" w:eastAsia="Times New Roman" w:hAnsi="Segoe UI" w:cs="Times New Roman"/>
      <w:i/>
      <w:iCs/>
      <w:color w:val="702C1C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57"/>
    <w:rPr>
      <w:rFonts w:ascii="Segoe UI" w:eastAsia="Times New Roman" w:hAnsi="Segoe UI" w:cs="Times New Roman"/>
      <w:b/>
      <w:bCs/>
      <w:color w:val="646B8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57"/>
    <w:rPr>
      <w:rFonts w:ascii="Segoe UI" w:eastAsia="Times New Roman" w:hAnsi="Segoe UI" w:cs="Times New Roman"/>
      <w:b/>
      <w:bCs/>
      <w:i/>
      <w:iCs/>
      <w:color w:val="646B8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2457"/>
    <w:pPr>
      <w:spacing w:after="0" w:line="240" w:lineRule="auto"/>
      <w:contextualSpacing/>
      <w:jc w:val="both"/>
    </w:pPr>
    <w:rPr>
      <w:rFonts w:eastAsia="Times New Roman"/>
      <w:color w:val="D16349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457"/>
    <w:rPr>
      <w:rFonts w:ascii="Segoe UI" w:eastAsia="Times New Roman" w:hAnsi="Segoe UI" w:cs="Times New Roman"/>
      <w:color w:val="D16349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57"/>
    <w:pPr>
      <w:numPr>
        <w:ilvl w:val="1"/>
      </w:numPr>
      <w:spacing w:after="120" w:line="240" w:lineRule="auto"/>
      <w:jc w:val="both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2457"/>
    <w:rPr>
      <w:rFonts w:ascii="Segoe UI" w:eastAsia="Times New Roman" w:hAnsi="Segoe U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457"/>
    <w:rPr>
      <w:b/>
      <w:bCs/>
    </w:rPr>
  </w:style>
  <w:style w:type="character" w:styleId="Emphasis">
    <w:name w:val="Emphasis"/>
    <w:basedOn w:val="DefaultParagraphFont"/>
    <w:uiPriority w:val="20"/>
    <w:qFormat/>
    <w:rsid w:val="003B2457"/>
    <w:rPr>
      <w:i/>
      <w:iCs/>
    </w:rPr>
  </w:style>
  <w:style w:type="paragraph" w:styleId="NoSpacing">
    <w:name w:val="No Spacing"/>
    <w:uiPriority w:val="1"/>
    <w:qFormat/>
    <w:rsid w:val="003B2457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B2457"/>
    <w:pPr>
      <w:spacing w:before="160" w:after="120" w:line="264" w:lineRule="auto"/>
      <w:ind w:left="720" w:right="720"/>
      <w:jc w:val="both"/>
    </w:pPr>
    <w:rPr>
      <w:rFonts w:eastAsia="Times New Roman"/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B2457"/>
    <w:rPr>
      <w:rFonts w:eastAsia="Times New Roman"/>
      <w:i/>
      <w:iCs/>
      <w:color w:val="40404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57"/>
    <w:pPr>
      <w:pBdr>
        <w:left w:val="single" w:sz="18" w:space="12" w:color="D16349"/>
      </w:pBdr>
      <w:spacing w:before="100" w:beforeAutospacing="1" w:after="120" w:line="300" w:lineRule="auto"/>
      <w:ind w:left="1224" w:right="1224"/>
      <w:jc w:val="both"/>
    </w:pPr>
    <w:rPr>
      <w:rFonts w:eastAsia="Times New Roman"/>
      <w:color w:val="D16349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57"/>
    <w:rPr>
      <w:rFonts w:ascii="Segoe UI" w:eastAsia="Times New Roman" w:hAnsi="Segoe UI" w:cs="Times New Roman"/>
      <w:color w:val="D16349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2457"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sid w:val="003B24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2457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B245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2457"/>
    <w:rPr>
      <w:b/>
      <w:bCs/>
      <w:smallCaps/>
    </w:rPr>
  </w:style>
  <w:style w:type="paragraph" w:customStyle="1" w:styleId="xl67">
    <w:name w:val="xl67"/>
    <w:basedOn w:val="Normal"/>
    <w:rsid w:val="003B2457"/>
    <w:pPr>
      <w:spacing w:before="100" w:beforeAutospacing="1" w:after="100" w:afterAutospacing="1" w:line="240" w:lineRule="auto"/>
      <w:jc w:val="both"/>
    </w:pPr>
    <w:rPr>
      <w:rFonts w:eastAsia="Times New Roman" w:cs="Segoe UI"/>
      <w:sz w:val="20"/>
      <w:szCs w:val="20"/>
    </w:rPr>
  </w:style>
  <w:style w:type="paragraph" w:customStyle="1" w:styleId="xl68">
    <w:name w:val="xl68"/>
    <w:basedOn w:val="Normal"/>
    <w:rsid w:val="003B2457"/>
    <w:pPr>
      <w:pBdr>
        <w:left w:val="single" w:sz="4" w:space="7" w:color="auto"/>
        <w:bottom w:val="dashed" w:sz="4" w:space="0" w:color="auto"/>
      </w:pBdr>
      <w:spacing w:before="100" w:beforeAutospacing="1" w:after="100" w:afterAutospacing="1" w:line="240" w:lineRule="auto"/>
      <w:ind w:firstLineChars="100" w:firstLine="100"/>
      <w:jc w:val="both"/>
    </w:pPr>
    <w:rPr>
      <w:rFonts w:eastAsia="Times New Roman" w:cs="Segoe UI"/>
      <w:sz w:val="20"/>
      <w:szCs w:val="20"/>
    </w:rPr>
  </w:style>
  <w:style w:type="paragraph" w:customStyle="1" w:styleId="xl69">
    <w:name w:val="xl69"/>
    <w:basedOn w:val="Normal"/>
    <w:rsid w:val="003B2457"/>
    <w:pPr>
      <w:pBdr>
        <w:top w:val="dashed" w:sz="4" w:space="0" w:color="auto"/>
        <w:left w:val="single" w:sz="4" w:space="7" w:color="auto"/>
        <w:bottom w:val="dashed" w:sz="4" w:space="0" w:color="auto"/>
      </w:pBdr>
      <w:spacing w:before="100" w:beforeAutospacing="1" w:after="100" w:afterAutospacing="1" w:line="240" w:lineRule="auto"/>
      <w:ind w:firstLineChars="100" w:firstLine="100"/>
      <w:jc w:val="both"/>
    </w:pPr>
    <w:rPr>
      <w:rFonts w:eastAsia="Times New Roman" w:cs="Segoe UI"/>
      <w:sz w:val="20"/>
      <w:szCs w:val="20"/>
    </w:rPr>
  </w:style>
  <w:style w:type="paragraph" w:customStyle="1" w:styleId="xl70">
    <w:name w:val="xl70"/>
    <w:basedOn w:val="Normal"/>
    <w:rsid w:val="003B2457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71">
    <w:name w:val="xl71"/>
    <w:basedOn w:val="Normal"/>
    <w:rsid w:val="003B2457"/>
    <w:pPr>
      <w:pBdr>
        <w:top w:val="dashed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both"/>
    </w:pPr>
    <w:rPr>
      <w:rFonts w:eastAsia="Times New Roman" w:cs="Segoe UI"/>
      <w:sz w:val="20"/>
      <w:szCs w:val="20"/>
    </w:rPr>
  </w:style>
  <w:style w:type="paragraph" w:customStyle="1" w:styleId="xl72">
    <w:name w:val="xl72"/>
    <w:basedOn w:val="Normal"/>
    <w:rsid w:val="003B2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Segoe UI"/>
      <w:b/>
      <w:bCs/>
      <w:sz w:val="20"/>
      <w:szCs w:val="20"/>
    </w:rPr>
  </w:style>
  <w:style w:type="paragraph" w:customStyle="1" w:styleId="xl73">
    <w:name w:val="xl73"/>
    <w:basedOn w:val="Normal"/>
    <w:rsid w:val="003B24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b/>
      <w:bCs/>
      <w:sz w:val="20"/>
      <w:szCs w:val="20"/>
    </w:rPr>
  </w:style>
  <w:style w:type="paragraph" w:customStyle="1" w:styleId="xl74">
    <w:name w:val="xl74"/>
    <w:basedOn w:val="Normal"/>
    <w:rsid w:val="003B2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b/>
      <w:bCs/>
      <w:sz w:val="20"/>
      <w:szCs w:val="20"/>
    </w:rPr>
  </w:style>
  <w:style w:type="paragraph" w:customStyle="1" w:styleId="xl75">
    <w:name w:val="xl75"/>
    <w:basedOn w:val="Normal"/>
    <w:rsid w:val="003B2457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sz w:val="20"/>
      <w:szCs w:val="20"/>
    </w:rPr>
  </w:style>
  <w:style w:type="paragraph" w:customStyle="1" w:styleId="xl76">
    <w:name w:val="xl76"/>
    <w:basedOn w:val="Normal"/>
    <w:rsid w:val="003B2457"/>
    <w:pPr>
      <w:pBdr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sz w:val="20"/>
      <w:szCs w:val="20"/>
    </w:rPr>
  </w:style>
  <w:style w:type="paragraph" w:customStyle="1" w:styleId="xl77">
    <w:name w:val="xl77"/>
    <w:basedOn w:val="Normal"/>
    <w:rsid w:val="003B2457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78">
    <w:name w:val="xl78"/>
    <w:basedOn w:val="Normal"/>
    <w:rsid w:val="003B2457"/>
    <w:pPr>
      <w:pBdr>
        <w:top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79">
    <w:name w:val="xl79"/>
    <w:basedOn w:val="Normal"/>
    <w:rsid w:val="003B2457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Segoe UI"/>
      <w:sz w:val="20"/>
      <w:szCs w:val="20"/>
    </w:rPr>
  </w:style>
  <w:style w:type="paragraph" w:customStyle="1" w:styleId="xl80">
    <w:name w:val="xl80"/>
    <w:basedOn w:val="Normal"/>
    <w:rsid w:val="003B2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Segoe UI"/>
      <w:b/>
      <w:bCs/>
      <w:sz w:val="20"/>
      <w:szCs w:val="20"/>
    </w:rPr>
  </w:style>
  <w:style w:type="paragraph" w:customStyle="1" w:styleId="xl81">
    <w:name w:val="xl81"/>
    <w:basedOn w:val="Normal"/>
    <w:rsid w:val="003B2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Segoe U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2457"/>
    <w:pPr>
      <w:spacing w:after="120" w:line="264" w:lineRule="auto"/>
      <w:ind w:left="720"/>
      <w:contextualSpacing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00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B2165"/>
    <w:pPr>
      <w:spacing w:after="0" w:line="240" w:lineRule="auto"/>
    </w:pPr>
    <w:rPr>
      <w:i/>
      <w:iCs/>
      <w:color w:val="702C1C"/>
      <w:sz w:val="20"/>
      <w:szCs w:val="18"/>
    </w:rPr>
  </w:style>
  <w:style w:type="paragraph" w:styleId="NormalWeb">
    <w:name w:val="Normal (Web)"/>
    <w:basedOn w:val="Normal"/>
    <w:uiPriority w:val="99"/>
    <w:unhideWhenUsed/>
    <w:rsid w:val="00C507C0"/>
    <w:rPr>
      <w:rFonts w:ascii="Times New Roman" w:eastAsia="MS Mincho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A4650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650"/>
    <w:rPr>
      <w:rFonts w:ascii="Times New Roman" w:eastAsia="Times New Roman" w:hAnsi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A5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lmi%20Limoni\D\Ilmi%20Limoni\Buxheti%202020-2022\KAB%202020-2022\Grafikonet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lmi%20Limoni\D\Ilmi%20Limoni\Buxheti%202020-2022\KAB%202020-2022\Grafikonet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lmi%20Limoni\D\Ilmi%20Limoni\Buxheti%202020-2022\KAB%202020-2022\Grafikone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40075067408389"/>
          <c:y val="0.25973672366098749"/>
          <c:w val="0.74760951809351583"/>
          <c:h val="0.3351316634553628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'[Grafikonet.xls]te hyrat'!$B$1</c:f>
              <c:strCache>
                <c:ptCount val="1"/>
                <c:pt idx="0">
                  <c:v>Realizimi 2018</c:v>
                </c:pt>
              </c:strCache>
            </c:strRef>
          </c:tx>
          <c:invertIfNegative val="0"/>
          <c:cat>
            <c:strRef>
              <c:f>'[Grafikonet.xls]te hyrat'!$A$2:$A$21</c:f>
              <c:strCache>
                <c:ptCount val="20"/>
                <c:pt idx="0">
                  <c:v>Të hyrat nga DAP</c:v>
                </c:pt>
                <c:pt idx="1">
                  <c:v>Të hyrat nga Qiraja</c:v>
                </c:pt>
                <c:pt idx="2">
                  <c:v>Të hyrat nga zhvillimi ekonomik</c:v>
                </c:pt>
                <c:pt idx="3">
                  <c:v>Të hyrat nga lejet e ndërtimit</c:v>
                </c:pt>
                <c:pt idx="4">
                  <c:v>Të hyrat nga shërbimet publike</c:v>
                </c:pt>
                <c:pt idx="5">
                  <c:v>Të hyrat nga Gjeodezia</c:v>
                </c:pt>
                <c:pt idx="6">
                  <c:v>Të hyrat e  kultures</c:v>
                </c:pt>
                <c:pt idx="7">
                  <c:v>Të hyrat nga regjistrimi I automjeteve</c:v>
                </c:pt>
                <c:pt idx="8">
                  <c:v>Të hyrat nga tatimi në Pronë</c:v>
                </c:pt>
                <c:pt idx="9">
                  <c:v>Të hyrat nga tatimi në Tokë</c:v>
                </c:pt>
                <c:pt idx="10">
                  <c:v>Gjobat ne trafik </c:v>
                </c:pt>
                <c:pt idx="11">
                  <c:v>Gjobat e gjykatave</c:v>
                </c:pt>
                <c:pt idx="12">
                  <c:v>Të hyrat e bujqesis</c:v>
                </c:pt>
                <c:pt idx="13">
                  <c:v>Të hyrat e bujqesis-A.P.K</c:v>
                </c:pt>
                <c:pt idx="14">
                  <c:v>Të hyrat nga Arsimi</c:v>
                </c:pt>
                <c:pt idx="15">
                  <c:v>Të hyrat nga Shëndetsia</c:v>
                </c:pt>
                <c:pt idx="16">
                  <c:v>Te hyrat  nga ankandet publike</c:v>
                </c:pt>
                <c:pt idx="17">
                  <c:v>Te hyrat nga koncensioni</c:v>
                </c:pt>
                <c:pt idx="18">
                  <c:v>Te hyrat e Drejtoratit Shëndetsisë</c:v>
                </c:pt>
                <c:pt idx="19">
                  <c:v>Te Hyrat  e QPS</c:v>
                </c:pt>
              </c:strCache>
            </c:strRef>
          </c:cat>
          <c:val>
            <c:numRef>
              <c:f>'[Grafikonet.xls]te hyrat'!$B$2:$B$21</c:f>
              <c:numCache>
                <c:formatCode>_(* #,##0.00_);_(* \(#,##0.00\);_(* "-"??_);_(@_)</c:formatCode>
                <c:ptCount val="20"/>
                <c:pt idx="0">
                  <c:v>130219.5</c:v>
                </c:pt>
                <c:pt idx="1">
                  <c:v>114800.98999999999</c:v>
                </c:pt>
                <c:pt idx="2">
                  <c:v>77651</c:v>
                </c:pt>
                <c:pt idx="3">
                  <c:v>778729.2</c:v>
                </c:pt>
                <c:pt idx="4">
                  <c:v>101324.38</c:v>
                </c:pt>
                <c:pt idx="5">
                  <c:v>225462.25</c:v>
                </c:pt>
                <c:pt idx="6">
                  <c:v>18437</c:v>
                </c:pt>
                <c:pt idx="7">
                  <c:v>194150.15</c:v>
                </c:pt>
                <c:pt idx="8">
                  <c:v>1412106.35</c:v>
                </c:pt>
                <c:pt idx="10">
                  <c:v>669769</c:v>
                </c:pt>
                <c:pt idx="11">
                  <c:v>132474</c:v>
                </c:pt>
                <c:pt idx="12">
                  <c:v>8297</c:v>
                </c:pt>
                <c:pt idx="13">
                  <c:v>21402.62</c:v>
                </c:pt>
                <c:pt idx="14">
                  <c:v>193824.68</c:v>
                </c:pt>
                <c:pt idx="15">
                  <c:v>104436.02</c:v>
                </c:pt>
                <c:pt idx="18">
                  <c:v>550</c:v>
                </c:pt>
                <c:pt idx="19">
                  <c:v>105.5</c:v>
                </c:pt>
              </c:numCache>
            </c:numRef>
          </c:val>
        </c:ser>
        <c:ser>
          <c:idx val="1"/>
          <c:order val="1"/>
          <c:tx>
            <c:strRef>
              <c:f>'[Grafikonet.xls]te hyrat'!$C$1</c:f>
              <c:strCache>
                <c:ptCount val="1"/>
                <c:pt idx="0">
                  <c:v>  Planikimi 2019 </c:v>
                </c:pt>
              </c:strCache>
            </c:strRef>
          </c:tx>
          <c:invertIfNegative val="0"/>
          <c:cat>
            <c:strRef>
              <c:f>'[Grafikonet.xls]te hyrat'!$A$2:$A$21</c:f>
              <c:strCache>
                <c:ptCount val="20"/>
                <c:pt idx="0">
                  <c:v>Të hyrat nga DAP</c:v>
                </c:pt>
                <c:pt idx="1">
                  <c:v>Të hyrat nga Qiraja</c:v>
                </c:pt>
                <c:pt idx="2">
                  <c:v>Të hyrat nga zhvillimi ekonomik</c:v>
                </c:pt>
                <c:pt idx="3">
                  <c:v>Të hyrat nga lejet e ndërtimit</c:v>
                </c:pt>
                <c:pt idx="4">
                  <c:v>Të hyrat nga shërbimet publike</c:v>
                </c:pt>
                <c:pt idx="5">
                  <c:v>Të hyrat nga Gjeodezia</c:v>
                </c:pt>
                <c:pt idx="6">
                  <c:v>Të hyrat e  kultures</c:v>
                </c:pt>
                <c:pt idx="7">
                  <c:v>Të hyrat nga regjistrimi I automjeteve</c:v>
                </c:pt>
                <c:pt idx="8">
                  <c:v>Të hyrat nga tatimi në Pronë</c:v>
                </c:pt>
                <c:pt idx="9">
                  <c:v>Të hyrat nga tatimi në Tokë</c:v>
                </c:pt>
                <c:pt idx="10">
                  <c:v>Gjobat ne trafik </c:v>
                </c:pt>
                <c:pt idx="11">
                  <c:v>Gjobat e gjykatave</c:v>
                </c:pt>
                <c:pt idx="12">
                  <c:v>Të hyrat e bujqesis</c:v>
                </c:pt>
                <c:pt idx="13">
                  <c:v>Të hyrat e bujqesis-A.P.K</c:v>
                </c:pt>
                <c:pt idx="14">
                  <c:v>Të hyrat nga Arsimi</c:v>
                </c:pt>
                <c:pt idx="15">
                  <c:v>Të hyrat nga Shëndetsia</c:v>
                </c:pt>
                <c:pt idx="16">
                  <c:v>Te hyrat  nga ankandet publike</c:v>
                </c:pt>
                <c:pt idx="17">
                  <c:v>Te hyrat nga koncensioni</c:v>
                </c:pt>
                <c:pt idx="18">
                  <c:v>Te hyrat e Drejtoratit Shëndetsisë</c:v>
                </c:pt>
                <c:pt idx="19">
                  <c:v>Te Hyrat  e QPS</c:v>
                </c:pt>
              </c:strCache>
            </c:strRef>
          </c:cat>
          <c:val>
            <c:numRef>
              <c:f>'[Grafikonet.xls]te hyrat'!$C$2:$C$21</c:f>
              <c:numCache>
                <c:formatCode>_(* #,##0.00_);_(* \(#,##0.00\);_(* "-"??_);_(@_)</c:formatCode>
                <c:ptCount val="20"/>
                <c:pt idx="0">
                  <c:v>140000</c:v>
                </c:pt>
                <c:pt idx="1">
                  <c:v>100000</c:v>
                </c:pt>
                <c:pt idx="2">
                  <c:v>70000</c:v>
                </c:pt>
                <c:pt idx="3" formatCode="#,##0.00">
                  <c:v>1120000</c:v>
                </c:pt>
                <c:pt idx="4" formatCode="#,##0.00">
                  <c:v>180000</c:v>
                </c:pt>
                <c:pt idx="5" formatCode="#,##0.00">
                  <c:v>230000</c:v>
                </c:pt>
                <c:pt idx="6" formatCode="#,##0.00">
                  <c:v>15000</c:v>
                </c:pt>
                <c:pt idx="7">
                  <c:v>180000</c:v>
                </c:pt>
                <c:pt idx="8">
                  <c:v>1440000</c:v>
                </c:pt>
                <c:pt idx="10">
                  <c:v>400000</c:v>
                </c:pt>
                <c:pt idx="11">
                  <c:v>141884</c:v>
                </c:pt>
                <c:pt idx="13">
                  <c:v>19000</c:v>
                </c:pt>
                <c:pt idx="14" formatCode="#,##0.00">
                  <c:v>260000</c:v>
                </c:pt>
                <c:pt idx="15">
                  <c:v>120000</c:v>
                </c:pt>
              </c:numCache>
            </c:numRef>
          </c:val>
        </c:ser>
        <c:ser>
          <c:idx val="2"/>
          <c:order val="2"/>
          <c:tx>
            <c:strRef>
              <c:f>'[Grafikonet.xls]te hyrat'!$D$1</c:f>
              <c:strCache>
                <c:ptCount val="1"/>
                <c:pt idx="0">
                  <c:v>  Planikimi 2020 </c:v>
                </c:pt>
              </c:strCache>
            </c:strRef>
          </c:tx>
          <c:invertIfNegative val="0"/>
          <c:cat>
            <c:strRef>
              <c:f>'[Grafikonet.xls]te hyrat'!$A$2:$A$21</c:f>
              <c:strCache>
                <c:ptCount val="20"/>
                <c:pt idx="0">
                  <c:v>Të hyrat nga DAP</c:v>
                </c:pt>
                <c:pt idx="1">
                  <c:v>Të hyrat nga Qiraja</c:v>
                </c:pt>
                <c:pt idx="2">
                  <c:v>Të hyrat nga zhvillimi ekonomik</c:v>
                </c:pt>
                <c:pt idx="3">
                  <c:v>Të hyrat nga lejet e ndërtimit</c:v>
                </c:pt>
                <c:pt idx="4">
                  <c:v>Të hyrat nga shërbimet publike</c:v>
                </c:pt>
                <c:pt idx="5">
                  <c:v>Të hyrat nga Gjeodezia</c:v>
                </c:pt>
                <c:pt idx="6">
                  <c:v>Të hyrat e  kultures</c:v>
                </c:pt>
                <c:pt idx="7">
                  <c:v>Të hyrat nga regjistrimi I automjeteve</c:v>
                </c:pt>
                <c:pt idx="8">
                  <c:v>Të hyrat nga tatimi në Pronë</c:v>
                </c:pt>
                <c:pt idx="9">
                  <c:v>Të hyrat nga tatimi në Tokë</c:v>
                </c:pt>
                <c:pt idx="10">
                  <c:v>Gjobat ne trafik </c:v>
                </c:pt>
                <c:pt idx="11">
                  <c:v>Gjobat e gjykatave</c:v>
                </c:pt>
                <c:pt idx="12">
                  <c:v>Të hyrat e bujqesis</c:v>
                </c:pt>
                <c:pt idx="13">
                  <c:v>Të hyrat e bujqesis-A.P.K</c:v>
                </c:pt>
                <c:pt idx="14">
                  <c:v>Të hyrat nga Arsimi</c:v>
                </c:pt>
                <c:pt idx="15">
                  <c:v>Të hyrat nga Shëndetsia</c:v>
                </c:pt>
                <c:pt idx="16">
                  <c:v>Te hyrat  nga ankandet publike</c:v>
                </c:pt>
                <c:pt idx="17">
                  <c:v>Te hyrat nga koncensioni</c:v>
                </c:pt>
                <c:pt idx="18">
                  <c:v>Te hyrat e Drejtoratit Shëndetsisë</c:v>
                </c:pt>
                <c:pt idx="19">
                  <c:v>Te Hyrat  e QPS</c:v>
                </c:pt>
              </c:strCache>
            </c:strRef>
          </c:cat>
          <c:val>
            <c:numRef>
              <c:f>'[Grafikonet.xls]te hyrat'!$D$2:$D$21</c:f>
              <c:numCache>
                <c:formatCode>_(* #,##0.00_);_(* \(#,##0.00\);_(* "-"??_);_(@_)</c:formatCode>
                <c:ptCount val="20"/>
                <c:pt idx="0">
                  <c:v>140000</c:v>
                </c:pt>
                <c:pt idx="1">
                  <c:v>100000</c:v>
                </c:pt>
                <c:pt idx="2">
                  <c:v>70000</c:v>
                </c:pt>
                <c:pt idx="3" formatCode="#,##0.00">
                  <c:v>1120000</c:v>
                </c:pt>
                <c:pt idx="4" formatCode="#,##0.00">
                  <c:v>80835</c:v>
                </c:pt>
                <c:pt idx="5" formatCode="#,##0.00">
                  <c:v>230000</c:v>
                </c:pt>
                <c:pt idx="6" formatCode="#,##0.00">
                  <c:v>18000</c:v>
                </c:pt>
                <c:pt idx="7">
                  <c:v>190000</c:v>
                </c:pt>
                <c:pt idx="8">
                  <c:v>1609193</c:v>
                </c:pt>
                <c:pt idx="9">
                  <c:v>426368</c:v>
                </c:pt>
                <c:pt idx="14" formatCode="#,##0.00">
                  <c:v>245000</c:v>
                </c:pt>
                <c:pt idx="15">
                  <c:v>120000</c:v>
                </c:pt>
              </c:numCache>
            </c:numRef>
          </c:val>
        </c:ser>
        <c:ser>
          <c:idx val="3"/>
          <c:order val="3"/>
          <c:tx>
            <c:strRef>
              <c:f>'[Grafikonet.xls]te hyrat'!$E$1</c:f>
              <c:strCache>
                <c:ptCount val="1"/>
                <c:pt idx="0">
                  <c:v>Vlersimi 2021</c:v>
                </c:pt>
              </c:strCache>
            </c:strRef>
          </c:tx>
          <c:invertIfNegative val="0"/>
          <c:cat>
            <c:strRef>
              <c:f>'[Grafikonet.xls]te hyrat'!$A$2:$A$21</c:f>
              <c:strCache>
                <c:ptCount val="20"/>
                <c:pt idx="0">
                  <c:v>Të hyrat nga DAP</c:v>
                </c:pt>
                <c:pt idx="1">
                  <c:v>Të hyrat nga Qiraja</c:v>
                </c:pt>
                <c:pt idx="2">
                  <c:v>Të hyrat nga zhvillimi ekonomik</c:v>
                </c:pt>
                <c:pt idx="3">
                  <c:v>Të hyrat nga lejet e ndërtimit</c:v>
                </c:pt>
                <c:pt idx="4">
                  <c:v>Të hyrat nga shërbimet publike</c:v>
                </c:pt>
                <c:pt idx="5">
                  <c:v>Të hyrat nga Gjeodezia</c:v>
                </c:pt>
                <c:pt idx="6">
                  <c:v>Të hyrat e  kultures</c:v>
                </c:pt>
                <c:pt idx="7">
                  <c:v>Të hyrat nga regjistrimi I automjeteve</c:v>
                </c:pt>
                <c:pt idx="8">
                  <c:v>Të hyrat nga tatimi në Pronë</c:v>
                </c:pt>
                <c:pt idx="9">
                  <c:v>Të hyrat nga tatimi në Tokë</c:v>
                </c:pt>
                <c:pt idx="10">
                  <c:v>Gjobat ne trafik </c:v>
                </c:pt>
                <c:pt idx="11">
                  <c:v>Gjobat e gjykatave</c:v>
                </c:pt>
                <c:pt idx="12">
                  <c:v>Të hyrat e bujqesis</c:v>
                </c:pt>
                <c:pt idx="13">
                  <c:v>Të hyrat e bujqesis-A.P.K</c:v>
                </c:pt>
                <c:pt idx="14">
                  <c:v>Të hyrat nga Arsimi</c:v>
                </c:pt>
                <c:pt idx="15">
                  <c:v>Të hyrat nga Shëndetsia</c:v>
                </c:pt>
                <c:pt idx="16">
                  <c:v>Te hyrat  nga ankandet publike</c:v>
                </c:pt>
                <c:pt idx="17">
                  <c:v>Te hyrat nga koncensioni</c:v>
                </c:pt>
                <c:pt idx="18">
                  <c:v>Te hyrat e Drejtoratit Shëndetsisë</c:v>
                </c:pt>
                <c:pt idx="19">
                  <c:v>Te Hyrat  e QPS</c:v>
                </c:pt>
              </c:strCache>
            </c:strRef>
          </c:cat>
          <c:val>
            <c:numRef>
              <c:f>'[Grafikonet.xls]te hyrat'!$E$2:$E$21</c:f>
              <c:numCache>
                <c:formatCode>_(* #,##0.00_);_(* \(#,##0.00\);_(* "-"??_);_(@_)</c:formatCode>
                <c:ptCount val="20"/>
                <c:pt idx="0">
                  <c:v>140000</c:v>
                </c:pt>
                <c:pt idx="1">
                  <c:v>100000</c:v>
                </c:pt>
                <c:pt idx="2">
                  <c:v>70000</c:v>
                </c:pt>
                <c:pt idx="3" formatCode="#,##0.00">
                  <c:v>1120000</c:v>
                </c:pt>
                <c:pt idx="4" formatCode="#,##0.00">
                  <c:v>94851</c:v>
                </c:pt>
                <c:pt idx="5" formatCode="#,##0.00">
                  <c:v>230000</c:v>
                </c:pt>
                <c:pt idx="6" formatCode="#,##0.00">
                  <c:v>20000</c:v>
                </c:pt>
                <c:pt idx="7">
                  <c:v>190000</c:v>
                </c:pt>
                <c:pt idx="8">
                  <c:v>1657469</c:v>
                </c:pt>
                <c:pt idx="9">
                  <c:v>639551</c:v>
                </c:pt>
                <c:pt idx="14" formatCode="#,##0.00">
                  <c:v>245000</c:v>
                </c:pt>
                <c:pt idx="15">
                  <c:v>120000</c:v>
                </c:pt>
              </c:numCache>
            </c:numRef>
          </c:val>
        </c:ser>
        <c:ser>
          <c:idx val="4"/>
          <c:order val="4"/>
          <c:tx>
            <c:strRef>
              <c:f>'[Grafikonet.xls]te hyrat'!$F$1</c:f>
              <c:strCache>
                <c:ptCount val="1"/>
                <c:pt idx="0">
                  <c:v>Vlersimi 2022</c:v>
                </c:pt>
              </c:strCache>
            </c:strRef>
          </c:tx>
          <c:invertIfNegative val="0"/>
          <c:cat>
            <c:strRef>
              <c:f>'[Grafikonet.xls]te hyrat'!$A$2:$A$21</c:f>
              <c:strCache>
                <c:ptCount val="20"/>
                <c:pt idx="0">
                  <c:v>Të hyrat nga DAP</c:v>
                </c:pt>
                <c:pt idx="1">
                  <c:v>Të hyrat nga Qiraja</c:v>
                </c:pt>
                <c:pt idx="2">
                  <c:v>Të hyrat nga zhvillimi ekonomik</c:v>
                </c:pt>
                <c:pt idx="3">
                  <c:v>Të hyrat nga lejet e ndërtimit</c:v>
                </c:pt>
                <c:pt idx="4">
                  <c:v>Të hyrat nga shërbimet publike</c:v>
                </c:pt>
                <c:pt idx="5">
                  <c:v>Të hyrat nga Gjeodezia</c:v>
                </c:pt>
                <c:pt idx="6">
                  <c:v>Të hyrat e  kultures</c:v>
                </c:pt>
                <c:pt idx="7">
                  <c:v>Të hyrat nga regjistrimi I automjeteve</c:v>
                </c:pt>
                <c:pt idx="8">
                  <c:v>Të hyrat nga tatimi në Pronë</c:v>
                </c:pt>
                <c:pt idx="9">
                  <c:v>Të hyrat nga tatimi në Tokë</c:v>
                </c:pt>
                <c:pt idx="10">
                  <c:v>Gjobat ne trafik </c:v>
                </c:pt>
                <c:pt idx="11">
                  <c:v>Gjobat e gjykatave</c:v>
                </c:pt>
                <c:pt idx="12">
                  <c:v>Të hyrat e bujqesis</c:v>
                </c:pt>
                <c:pt idx="13">
                  <c:v>Të hyrat e bujqesis-A.P.K</c:v>
                </c:pt>
                <c:pt idx="14">
                  <c:v>Të hyrat nga Arsimi</c:v>
                </c:pt>
                <c:pt idx="15">
                  <c:v>Të hyrat nga Shëndetsia</c:v>
                </c:pt>
                <c:pt idx="16">
                  <c:v>Te hyrat  nga ankandet publike</c:v>
                </c:pt>
                <c:pt idx="17">
                  <c:v>Te hyrat nga koncensioni</c:v>
                </c:pt>
                <c:pt idx="18">
                  <c:v>Te hyrat e Drejtoratit Shëndetsisë</c:v>
                </c:pt>
                <c:pt idx="19">
                  <c:v>Te Hyrat  e QPS</c:v>
                </c:pt>
              </c:strCache>
            </c:strRef>
          </c:cat>
          <c:val>
            <c:numRef>
              <c:f>'[Grafikonet.xls]te hyrat'!$F$2:$F$21</c:f>
              <c:numCache>
                <c:formatCode>_(* #,##0.00_);_(* \(#,##0.00\);_(* "-"??_);_(@_)</c:formatCode>
                <c:ptCount val="20"/>
                <c:pt idx="0">
                  <c:v>140000</c:v>
                </c:pt>
                <c:pt idx="1">
                  <c:v>102000</c:v>
                </c:pt>
                <c:pt idx="2">
                  <c:v>60000</c:v>
                </c:pt>
                <c:pt idx="3" formatCode="#,##0.00">
                  <c:v>1120000</c:v>
                </c:pt>
                <c:pt idx="4" formatCode="#,##0.00">
                  <c:v>117691</c:v>
                </c:pt>
                <c:pt idx="5" formatCode="#,##0.00">
                  <c:v>230000</c:v>
                </c:pt>
                <c:pt idx="6" formatCode="#,##0.00">
                  <c:v>20000</c:v>
                </c:pt>
                <c:pt idx="7">
                  <c:v>190000</c:v>
                </c:pt>
                <c:pt idx="8">
                  <c:v>1707193</c:v>
                </c:pt>
                <c:pt idx="9">
                  <c:v>852735</c:v>
                </c:pt>
                <c:pt idx="14" formatCode="#,##0.00">
                  <c:v>245000</c:v>
                </c:pt>
                <c:pt idx="15">
                  <c:v>120000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596928"/>
        <c:axId val="55598464"/>
        <c:axId val="55432960"/>
      </c:bar3DChart>
      <c:catAx>
        <c:axId val="5559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q-AL"/>
            </a:pPr>
            <a:endParaRPr lang="sq-AL"/>
          </a:p>
        </c:txPr>
        <c:crossAx val="55598464"/>
        <c:crosses val="autoZero"/>
        <c:auto val="1"/>
        <c:lblAlgn val="ctr"/>
        <c:lblOffset val="100"/>
        <c:noMultiLvlLbl val="0"/>
      </c:catAx>
      <c:valAx>
        <c:axId val="55598464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lang="sq-AL"/>
            </a:pPr>
            <a:endParaRPr lang="sq-AL"/>
          </a:p>
        </c:txPr>
        <c:crossAx val="55596928"/>
        <c:crosses val="autoZero"/>
        <c:crossBetween val="between"/>
      </c:valAx>
      <c:serAx>
        <c:axId val="55432960"/>
        <c:scaling>
          <c:orientation val="minMax"/>
        </c:scaling>
        <c:delete val="1"/>
        <c:axPos val="b"/>
        <c:majorTickMark val="out"/>
        <c:minorTickMark val="none"/>
        <c:tickLblPos val="nextTo"/>
        <c:crossAx val="55598464"/>
        <c:crosses val="autoZero"/>
      </c:ser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lang="sq-AL"/>
          </a:pPr>
          <a:endParaRPr lang="sq-A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8380928190428"/>
          <c:y val="5.7177143122355889E-2"/>
          <c:w val="0.77885215960908183"/>
          <c:h val="0.509576448727422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'[Grafikonet.xls]Kufijt buxhetor me sh'!$B$5</c:f>
              <c:strCache>
                <c:ptCount val="1"/>
                <c:pt idx="0">
                  <c:v>Planifikimi 2019</c:v>
                </c:pt>
              </c:strCache>
            </c:strRef>
          </c:tx>
          <c:invertIfNegative val="0"/>
          <c:cat>
            <c:strRef>
              <c:f>'[Grafikonet.xls]Kufijt buxhetor me sh'!$A$6:$A$10</c:f>
              <c:strCache>
                <c:ptCount val="5"/>
                <c:pt idx="0">
                  <c:v>Pagat dhe meditjet</c:v>
                </c:pt>
                <c:pt idx="1">
                  <c:v>Mallrat dhe sherbimet</c:v>
                </c:pt>
                <c:pt idx="2">
                  <c:v>Shpenzimet komunale</c:v>
                </c:pt>
                <c:pt idx="3">
                  <c:v>Subvencione</c:v>
                </c:pt>
                <c:pt idx="4">
                  <c:v>Shpenzime Kapitale</c:v>
                </c:pt>
              </c:strCache>
            </c:strRef>
          </c:cat>
          <c:val>
            <c:numRef>
              <c:f>'[Grafikonet.xls]Kufijt buxhetor me sh'!$B$6:$B$10</c:f>
              <c:numCache>
                <c:formatCode>#,##0.00</c:formatCode>
                <c:ptCount val="5"/>
                <c:pt idx="0">
                  <c:v>15472123</c:v>
                </c:pt>
                <c:pt idx="1">
                  <c:v>3710000</c:v>
                </c:pt>
                <c:pt idx="2" formatCode="_(* #,##0.00_);_(* \(#,##0.00\);_(* &quot;-&quot;??_);_(@_)">
                  <c:v>671500</c:v>
                </c:pt>
                <c:pt idx="3" formatCode="_(* #,##0.00_);_(* \(#,##0.00\);_(* &quot;-&quot;??_);_(@_)">
                  <c:v>608936</c:v>
                </c:pt>
                <c:pt idx="4" formatCode="_(* #,##0.00_);_(* \(#,##0.00\);_(* &quot;-&quot;??_);_(@_)">
                  <c:v>5082228</c:v>
                </c:pt>
              </c:numCache>
            </c:numRef>
          </c:val>
        </c:ser>
        <c:ser>
          <c:idx val="1"/>
          <c:order val="1"/>
          <c:tx>
            <c:strRef>
              <c:f>'[Grafikonet.xls]Kufijt buxhetor me sh'!$C$5</c:f>
              <c:strCache>
                <c:ptCount val="1"/>
                <c:pt idx="0">
                  <c:v>Planifikimi 2020</c:v>
                </c:pt>
              </c:strCache>
            </c:strRef>
          </c:tx>
          <c:invertIfNegative val="0"/>
          <c:cat>
            <c:strRef>
              <c:f>'[Grafikonet.xls]Kufijt buxhetor me sh'!$A$6:$A$10</c:f>
              <c:strCache>
                <c:ptCount val="5"/>
                <c:pt idx="0">
                  <c:v>Pagat dhe meditjet</c:v>
                </c:pt>
                <c:pt idx="1">
                  <c:v>Mallrat dhe sherbimet</c:v>
                </c:pt>
                <c:pt idx="2">
                  <c:v>Shpenzimet komunale</c:v>
                </c:pt>
                <c:pt idx="3">
                  <c:v>Subvencione</c:v>
                </c:pt>
                <c:pt idx="4">
                  <c:v>Shpenzime Kapitale</c:v>
                </c:pt>
              </c:strCache>
            </c:strRef>
          </c:cat>
          <c:val>
            <c:numRef>
              <c:f>'[Grafikonet.xls]Kufijt buxhetor me sh'!$C$6:$C$10</c:f>
              <c:numCache>
                <c:formatCode>_(* #,##0.00_);_(* \(#,##0.00\);_(* "-"??_);_(@_)</c:formatCode>
                <c:ptCount val="5"/>
                <c:pt idx="0">
                  <c:v>18370202</c:v>
                </c:pt>
                <c:pt idx="1">
                  <c:v>3547000</c:v>
                </c:pt>
                <c:pt idx="2">
                  <c:v>625000</c:v>
                </c:pt>
                <c:pt idx="3">
                  <c:v>565000</c:v>
                </c:pt>
                <c:pt idx="4">
                  <c:v>4401883</c:v>
                </c:pt>
              </c:numCache>
            </c:numRef>
          </c:val>
        </c:ser>
        <c:ser>
          <c:idx val="2"/>
          <c:order val="2"/>
          <c:tx>
            <c:strRef>
              <c:f>'[Grafikonet.xls]Kufijt buxhetor me sh'!$D$5</c:f>
              <c:strCache>
                <c:ptCount val="1"/>
                <c:pt idx="0">
                  <c:v>Vlersimi 2021</c:v>
                </c:pt>
              </c:strCache>
            </c:strRef>
          </c:tx>
          <c:invertIfNegative val="0"/>
          <c:cat>
            <c:strRef>
              <c:f>'[Grafikonet.xls]Kufijt buxhetor me sh'!$A$6:$A$10</c:f>
              <c:strCache>
                <c:ptCount val="5"/>
                <c:pt idx="0">
                  <c:v>Pagat dhe meditjet</c:v>
                </c:pt>
                <c:pt idx="1">
                  <c:v>Mallrat dhe sherbimet</c:v>
                </c:pt>
                <c:pt idx="2">
                  <c:v>Shpenzimet komunale</c:v>
                </c:pt>
                <c:pt idx="3">
                  <c:v>Subvencione</c:v>
                </c:pt>
                <c:pt idx="4">
                  <c:v>Shpenzime Kapitale</c:v>
                </c:pt>
              </c:strCache>
            </c:strRef>
          </c:cat>
          <c:val>
            <c:numRef>
              <c:f>'[Grafikonet.xls]Kufijt buxhetor me sh'!$D$6:$D$10</c:f>
              <c:numCache>
                <c:formatCode>_(* #,##0.00_);_(* \(#,##0.00\);_(* "-"??_);_(@_)</c:formatCode>
                <c:ptCount val="5"/>
                <c:pt idx="0">
                  <c:v>18462053</c:v>
                </c:pt>
                <c:pt idx="1">
                  <c:v>3547000</c:v>
                </c:pt>
                <c:pt idx="2">
                  <c:v>625000</c:v>
                </c:pt>
                <c:pt idx="3">
                  <c:v>565000</c:v>
                </c:pt>
                <c:pt idx="4">
                  <c:v>5178785</c:v>
                </c:pt>
              </c:numCache>
            </c:numRef>
          </c:val>
        </c:ser>
        <c:ser>
          <c:idx val="3"/>
          <c:order val="3"/>
          <c:tx>
            <c:strRef>
              <c:f>'[Grafikonet.xls]Kufijt buxhetor me sh'!$E$5</c:f>
              <c:strCache>
                <c:ptCount val="1"/>
                <c:pt idx="0">
                  <c:v>Vlersimi 2022</c:v>
                </c:pt>
              </c:strCache>
            </c:strRef>
          </c:tx>
          <c:invertIfNegative val="0"/>
          <c:cat>
            <c:strRef>
              <c:f>'[Grafikonet.xls]Kufijt buxhetor me sh'!$A$6:$A$10</c:f>
              <c:strCache>
                <c:ptCount val="5"/>
                <c:pt idx="0">
                  <c:v>Pagat dhe meditjet</c:v>
                </c:pt>
                <c:pt idx="1">
                  <c:v>Mallrat dhe sherbimet</c:v>
                </c:pt>
                <c:pt idx="2">
                  <c:v>Shpenzimet komunale</c:v>
                </c:pt>
                <c:pt idx="3">
                  <c:v>Subvencione</c:v>
                </c:pt>
                <c:pt idx="4">
                  <c:v>Shpenzime Kapitale</c:v>
                </c:pt>
              </c:strCache>
            </c:strRef>
          </c:cat>
          <c:val>
            <c:numRef>
              <c:f>'[Grafikonet.xls]Kufijt buxhetor me sh'!$E$6:$E$10</c:f>
              <c:numCache>
                <c:formatCode>_(* #,##0.00_);_(* \(#,##0.00\);_(* "-"??_);_(@_)</c:formatCode>
                <c:ptCount val="5"/>
                <c:pt idx="0">
                  <c:v>18554363</c:v>
                </c:pt>
                <c:pt idx="1">
                  <c:v>3547000</c:v>
                </c:pt>
                <c:pt idx="2">
                  <c:v>625000</c:v>
                </c:pt>
                <c:pt idx="3">
                  <c:v>565000</c:v>
                </c:pt>
                <c:pt idx="4">
                  <c:v>6133154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622656"/>
        <c:axId val="55632640"/>
        <c:axId val="0"/>
      </c:bar3DChart>
      <c:catAx>
        <c:axId val="5562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q-AL"/>
            </a:pPr>
            <a:endParaRPr lang="sq-AL"/>
          </a:p>
        </c:txPr>
        <c:crossAx val="55632640"/>
        <c:crosses val="autoZero"/>
        <c:auto val="1"/>
        <c:lblAlgn val="ctr"/>
        <c:lblOffset val="100"/>
        <c:noMultiLvlLbl val="0"/>
      </c:catAx>
      <c:valAx>
        <c:axId val="5563264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lang="sq-AL"/>
            </a:pPr>
            <a:endParaRPr lang="sq-AL"/>
          </a:p>
        </c:txPr>
        <c:crossAx val="55622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lang="sq-AL"/>
          </a:pPr>
          <a:endParaRPr lang="sq-A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q-AL"/>
            </a:pPr>
            <a:r>
              <a:rPr lang="en-US"/>
              <a:t>Ucesce u troskovima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Kancelarija</a:t>
                    </a:r>
                    <a:r>
                      <a:rPr lang="en-US" baseline="0"/>
                      <a:t> Predsednika opstine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Javna administracija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Inspekcija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Nabavka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Kancelarija</a:t>
                    </a:r>
                    <a:r>
                      <a:rPr lang="en-US" baseline="0"/>
                      <a:t> SO</a:t>
                    </a:r>
                    <a:r>
                      <a:rPr lang="en-US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Budzet</a:t>
                    </a:r>
                    <a:r>
                      <a:rPr lang="en-US" baseline="0"/>
                      <a:t> i finansije</a:t>
                    </a:r>
                    <a:r>
                      <a:rPr lang="en-US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Javne</a:t>
                    </a:r>
                    <a:r>
                      <a:rPr lang="en-US" baseline="0"/>
                      <a:t> usluge, infrastruktura i stanovanje</a:t>
                    </a:r>
                    <a:r>
                      <a:rPr lang="en-US"/>
                      <a:t>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 Zastita</a:t>
                    </a:r>
                    <a:r>
                      <a:rPr lang="en-US" baseline="0"/>
                      <a:t> i spasavanje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Kancelarija</a:t>
                    </a:r>
                    <a:r>
                      <a:rPr lang="en-US" baseline="0"/>
                      <a:t> za zajednice</a:t>
                    </a:r>
                    <a:r>
                      <a:rPr lang="en-US"/>
                      <a:t>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Poljoprivreda</a:t>
                    </a:r>
                    <a:r>
                      <a:rPr lang="en-US" baseline="0"/>
                      <a:t> i sumarstvo</a:t>
                    </a:r>
                    <a:r>
                      <a:rPr lang="en-US"/>
                      <a:t>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Ekonomski</a:t>
                    </a:r>
                    <a:r>
                      <a:rPr lang="en-US" baseline="0"/>
                      <a:t> razvoj</a:t>
                    </a:r>
                    <a:r>
                      <a:rPr lang="en-US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Katastar ,Geodezija ,Imovina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Urbanizam i zastita sredine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Zdravstvo
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CSR</a:t>
                    </a:r>
                    <a:r>
                      <a:rPr lang="en-US" baseline="0"/>
                      <a:t> </a:t>
                    </a:r>
                    <a:r>
                      <a:rPr lang="en-US"/>
                      <a:t>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Kultura, omladina i sport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Obrazovanje</a:t>
                    </a:r>
                    <a:r>
                      <a:rPr lang="en-US" baseline="0"/>
                      <a:t> i nauka</a:t>
                    </a:r>
                    <a:r>
                      <a:rPr lang="en-US"/>
                      <a:t>
56%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lang="sq-AL"/>
                </a:pPr>
                <a:endParaRPr lang="sq-A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'[Grafikonet.xls]Pjesmarja ne shpenzime'!$A$1:$A$17</c:f>
              <c:strCache>
                <c:ptCount val="17"/>
                <c:pt idx="0">
                  <c:v>Zyra e Kryetari </c:v>
                </c:pt>
                <c:pt idx="1">
                  <c:v>Administrata e përgjithëshme</c:v>
                </c:pt>
                <c:pt idx="2">
                  <c:v>Inspeksioni</c:v>
                </c:pt>
                <c:pt idx="3">
                  <c:v>Prokurimi</c:v>
                </c:pt>
                <c:pt idx="4">
                  <c:v>Zyra e Kuvendit komunal</c:v>
                </c:pt>
                <c:pt idx="5">
                  <c:v>Buxhet dhe financa</c:v>
                </c:pt>
                <c:pt idx="6">
                  <c:v>Shërbime Publike,Infrastrukturë dhe banim</c:v>
                </c:pt>
                <c:pt idx="7">
                  <c:v> Mbrojtje  dhe Shpëtim</c:v>
                </c:pt>
                <c:pt idx="8">
                  <c:v>Zyra e komuniteteve</c:v>
                </c:pt>
                <c:pt idx="9">
                  <c:v>Bujqësi dhe Pylltari</c:v>
                </c:pt>
                <c:pt idx="10">
                  <c:v>Zhvillim Ekonomik</c:v>
                </c:pt>
                <c:pt idx="11">
                  <c:v>Kadastër ,Gjeodezi ,Pronë</c:v>
                </c:pt>
                <c:pt idx="12">
                  <c:v>Urbanizëm dhe mbrojtje të mjedisit</c:v>
                </c:pt>
                <c:pt idx="13">
                  <c:v>Shëndetësia</c:v>
                </c:pt>
                <c:pt idx="14">
                  <c:v>QPS</c:v>
                </c:pt>
                <c:pt idx="15">
                  <c:v>Kulturë, Rini dhe Sport</c:v>
                </c:pt>
                <c:pt idx="16">
                  <c:v>Arsim dhe shkencë</c:v>
                </c:pt>
              </c:strCache>
            </c:strRef>
          </c:cat>
          <c:val>
            <c:numRef>
              <c:f>'[Grafikonet.xls]Pjesmarja ne shpenzime'!$B$1:$B$17</c:f>
              <c:numCache>
                <c:formatCode>_(* #,##0.00000_);_(* \(#,##0.00000\);_(* "-"??_);_(@_)</c:formatCode>
                <c:ptCount val="17"/>
                <c:pt idx="0">
                  <c:v>1.7437584710651044</c:v>
                </c:pt>
                <c:pt idx="1">
                  <c:v>2.969633486537266</c:v>
                </c:pt>
                <c:pt idx="2">
                  <c:v>0.7751075690085657</c:v>
                </c:pt>
                <c:pt idx="3">
                  <c:v>0.56578762979575659</c:v>
                </c:pt>
                <c:pt idx="4">
                  <c:v>0.77977511792922294</c:v>
                </c:pt>
                <c:pt idx="5">
                  <c:v>0.94193609129493039</c:v>
                </c:pt>
                <c:pt idx="6">
                  <c:v>8.7947599856556486</c:v>
                </c:pt>
                <c:pt idx="7">
                  <c:v>1.7925605304574834</c:v>
                </c:pt>
                <c:pt idx="8">
                  <c:v>0.23091644087762311</c:v>
                </c:pt>
                <c:pt idx="9">
                  <c:v>1.6510909032416021</c:v>
                </c:pt>
                <c:pt idx="10">
                  <c:v>3.4029957739415906</c:v>
                </c:pt>
                <c:pt idx="11">
                  <c:v>3.4854339938969248</c:v>
                </c:pt>
                <c:pt idx="12">
                  <c:v>2.1335133465907741</c:v>
                </c:pt>
                <c:pt idx="13">
                  <c:v>12.448847353519755</c:v>
                </c:pt>
                <c:pt idx="14">
                  <c:v>0.47916533756030055</c:v>
                </c:pt>
                <c:pt idx="15">
                  <c:v>2.0884591399532164</c:v>
                </c:pt>
                <c:pt idx="16">
                  <c:v>55.716258828674263</c:v>
                </c:pt>
              </c:numCache>
            </c:numRef>
          </c:val>
        </c:ser>
        <c:ser>
          <c:idx val="1"/>
          <c:order val="1"/>
          <c:explosion val="25"/>
          <c:dLbls>
            <c:txPr>
              <a:bodyPr/>
              <a:lstStyle/>
              <a:p>
                <a:pPr>
                  <a:defRPr lang="sq-AL"/>
                </a:pPr>
                <a:endParaRPr lang="sq-A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'[Grafikonet.xls]Pjesmarja ne shpenzime'!$A$1:$A$17</c:f>
              <c:strCache>
                <c:ptCount val="17"/>
                <c:pt idx="0">
                  <c:v>Zyra e Kryetari </c:v>
                </c:pt>
                <c:pt idx="1">
                  <c:v>Administrata e përgjithëshme</c:v>
                </c:pt>
                <c:pt idx="2">
                  <c:v>Inspeksioni</c:v>
                </c:pt>
                <c:pt idx="3">
                  <c:v>Prokurimi</c:v>
                </c:pt>
                <c:pt idx="4">
                  <c:v>Zyra e Kuvendit komunal</c:v>
                </c:pt>
                <c:pt idx="5">
                  <c:v>Buxhet dhe financa</c:v>
                </c:pt>
                <c:pt idx="6">
                  <c:v>Shërbime Publike,Infrastrukturë dhe banim</c:v>
                </c:pt>
                <c:pt idx="7">
                  <c:v> Mbrojtje  dhe Shpëtim</c:v>
                </c:pt>
                <c:pt idx="8">
                  <c:v>Zyra e komuniteteve</c:v>
                </c:pt>
                <c:pt idx="9">
                  <c:v>Bujqësi dhe Pylltari</c:v>
                </c:pt>
                <c:pt idx="10">
                  <c:v>Zhvillim Ekonomik</c:v>
                </c:pt>
                <c:pt idx="11">
                  <c:v>Kadastër ,Gjeodezi ,Pronë</c:v>
                </c:pt>
                <c:pt idx="12">
                  <c:v>Urbanizëm dhe mbrojtje të mjedisit</c:v>
                </c:pt>
                <c:pt idx="13">
                  <c:v>Shëndetësia</c:v>
                </c:pt>
                <c:pt idx="14">
                  <c:v>QPS</c:v>
                </c:pt>
                <c:pt idx="15">
                  <c:v>Kulturë, Rini dhe Sport</c:v>
                </c:pt>
                <c:pt idx="16">
                  <c:v>Arsim dhe shkencë</c:v>
                </c:pt>
              </c:strCache>
            </c:strRef>
          </c:cat>
          <c:val>
            <c:numRef>
              <c:f>'[Grafikonet.xls]Pjesmarja ne shpenzime'!$C$1:$C$17</c:f>
              <c:numCache>
                <c:formatCode>_(* #,##0.00_);_(* \(#,##0.00\);_(* "-"??_);_(@_)</c:formatCode>
                <c:ptCount val="17"/>
                <c:pt idx="0">
                  <c:v>479692</c:v>
                </c:pt>
                <c:pt idx="1">
                  <c:v>816919</c:v>
                </c:pt>
                <c:pt idx="2">
                  <c:v>213225</c:v>
                </c:pt>
                <c:pt idx="3">
                  <c:v>155643</c:v>
                </c:pt>
                <c:pt idx="4">
                  <c:v>214509</c:v>
                </c:pt>
                <c:pt idx="5">
                  <c:v>259118</c:v>
                </c:pt>
                <c:pt idx="6">
                  <c:v>2419358</c:v>
                </c:pt>
                <c:pt idx="7">
                  <c:v>493117</c:v>
                </c:pt>
                <c:pt idx="8">
                  <c:v>63523</c:v>
                </c:pt>
                <c:pt idx="9">
                  <c:v>454200</c:v>
                </c:pt>
                <c:pt idx="10">
                  <c:v>936133</c:v>
                </c:pt>
                <c:pt idx="11">
                  <c:v>958811</c:v>
                </c:pt>
                <c:pt idx="12">
                  <c:v>586910</c:v>
                </c:pt>
                <c:pt idx="13">
                  <c:v>3424564</c:v>
                </c:pt>
                <c:pt idx="14">
                  <c:v>131814</c:v>
                </c:pt>
                <c:pt idx="15">
                  <c:v>574516</c:v>
                </c:pt>
                <c:pt idx="16">
                  <c:v>15327033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9B40-637F-4A53-B5B3-AD5BC082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</dc:creator>
  <cp:lastModifiedBy>Sadri Arifi</cp:lastModifiedBy>
  <cp:revision>3</cp:revision>
  <cp:lastPrinted>2018-06-12T12:39:00Z</cp:lastPrinted>
  <dcterms:created xsi:type="dcterms:W3CDTF">2019-06-25T13:28:00Z</dcterms:created>
  <dcterms:modified xsi:type="dcterms:W3CDTF">2019-07-02T08:47:00Z</dcterms:modified>
</cp:coreProperties>
</file>