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306" w:rsidRDefault="00E17D00" w:rsidP="00020306">
      <w:pP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ZYRA E AVOKATIT</w:t>
      </w:r>
      <w:bookmarkStart w:id="0" w:name="_GoBack"/>
      <w:bookmarkEnd w:id="0"/>
    </w:p>
    <w:p w:rsidR="00020306" w:rsidRPr="00020306" w:rsidRDefault="00020306" w:rsidP="00020306">
      <w:pPr>
        <w:rPr>
          <w:rFonts w:ascii="Times New Roman" w:eastAsiaTheme="minorEastAsia" w:hAnsi="Times New Roman" w:cs="Times New Roman"/>
          <w:b/>
          <w:sz w:val="24"/>
          <w:szCs w:val="24"/>
        </w:rPr>
      </w:pPr>
      <w:r w:rsidRPr="00020306">
        <w:rPr>
          <w:rFonts w:ascii="Times New Roman" w:eastAsiaTheme="minorEastAsia" w:hAnsi="Times New Roman" w:cs="Times New Roman"/>
          <w:b/>
          <w:sz w:val="24"/>
          <w:szCs w:val="24"/>
        </w:rPr>
        <w:t>Raporti i punës për periudhën janar-qershor 2019</w:t>
      </w:r>
    </w:p>
    <w:p w:rsidR="00020306" w:rsidRDefault="00020306" w:rsidP="00020306">
      <w:pPr>
        <w:spacing w:after="160"/>
        <w:jc w:val="both"/>
        <w:rPr>
          <w:rFonts w:ascii="Times New Roman" w:eastAsia="MS Mincho" w:hAnsi="Times New Roman" w:cs="Times New Roman"/>
          <w:sz w:val="24"/>
          <w:szCs w:val="24"/>
        </w:rPr>
      </w:pPr>
    </w:p>
    <w:p w:rsidR="00020306" w:rsidRPr="0057507F" w:rsidRDefault="00020306" w:rsidP="00020306">
      <w:pPr>
        <w:spacing w:after="16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 xml:space="preserve">Në zyrën e Avokatit  janë kryer këto punë në raport me Gjykatat Kompetente dhe institucione tjera kompetente si në vijim: </w:t>
      </w:r>
      <w:r w:rsidRPr="0057507F">
        <w:rPr>
          <w:rFonts w:ascii="Times New Roman" w:eastAsia="MS Mincho" w:hAnsi="Times New Roman" w:cs="Times New Roman"/>
          <w:sz w:val="24"/>
          <w:szCs w:val="24"/>
        </w:rPr>
        <w:tab/>
      </w:r>
    </w:p>
    <w:p w:rsidR="00020306" w:rsidRPr="0057507F" w:rsidRDefault="00020306" w:rsidP="00020306">
      <w:pPr>
        <w:numPr>
          <w:ilvl w:val="0"/>
          <w:numId w:val="2"/>
        </w:numPr>
        <w:spacing w:after="0"/>
        <w:ind w:left="450" w:hanging="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Seanca gjyqësore në çështje juridike të ndryshme 281,</w:t>
      </w:r>
    </w:p>
    <w:p w:rsidR="00020306" w:rsidRPr="0057507F" w:rsidRDefault="00020306" w:rsidP="00020306">
      <w:pPr>
        <w:numPr>
          <w:ilvl w:val="0"/>
          <w:numId w:val="2"/>
        </w:numPr>
        <w:spacing w:after="0"/>
        <w:ind w:left="450" w:hanging="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Padi nga Komuna 1,</w:t>
      </w:r>
    </w:p>
    <w:p w:rsidR="00020306" w:rsidRPr="0057507F" w:rsidRDefault="00020306" w:rsidP="00020306">
      <w:pPr>
        <w:numPr>
          <w:ilvl w:val="0"/>
          <w:numId w:val="2"/>
        </w:numPr>
        <w:spacing w:after="0"/>
        <w:ind w:left="450" w:hanging="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Padi kundër Komunës 50</w:t>
      </w:r>
    </w:p>
    <w:p w:rsidR="00020306" w:rsidRPr="0057507F" w:rsidRDefault="00020306" w:rsidP="00020306">
      <w:pPr>
        <w:numPr>
          <w:ilvl w:val="0"/>
          <w:numId w:val="2"/>
        </w:numPr>
        <w:spacing w:after="0"/>
        <w:ind w:left="450" w:hanging="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 xml:space="preserve">Përgjigje në padi 50, </w:t>
      </w:r>
    </w:p>
    <w:p w:rsidR="00020306" w:rsidRPr="0057507F" w:rsidRDefault="00020306" w:rsidP="00020306">
      <w:pPr>
        <w:numPr>
          <w:ilvl w:val="0"/>
          <w:numId w:val="2"/>
        </w:numPr>
        <w:spacing w:after="0"/>
        <w:ind w:left="450" w:hanging="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Plotësim të përgjigjeve në padi 1,</w:t>
      </w:r>
    </w:p>
    <w:p w:rsidR="00020306" w:rsidRPr="0057507F" w:rsidRDefault="00020306" w:rsidP="00020306">
      <w:pPr>
        <w:numPr>
          <w:ilvl w:val="0"/>
          <w:numId w:val="2"/>
        </w:numPr>
        <w:spacing w:after="0"/>
        <w:ind w:left="450" w:hanging="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Fjalë përfundimtare  41,</w:t>
      </w:r>
    </w:p>
    <w:p w:rsidR="00020306" w:rsidRPr="0057507F" w:rsidRDefault="00020306" w:rsidP="00020306">
      <w:pPr>
        <w:numPr>
          <w:ilvl w:val="0"/>
          <w:numId w:val="2"/>
        </w:numPr>
        <w:spacing w:after="0"/>
        <w:ind w:left="450" w:hanging="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 xml:space="preserve">Ankesa 74, </w:t>
      </w:r>
    </w:p>
    <w:p w:rsidR="00020306" w:rsidRPr="0057507F" w:rsidRDefault="00020306" w:rsidP="00020306">
      <w:pPr>
        <w:numPr>
          <w:ilvl w:val="0"/>
          <w:numId w:val="2"/>
        </w:numPr>
        <w:spacing w:after="0"/>
        <w:ind w:left="450" w:hanging="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Përgjigje në Ankesë 31,</w:t>
      </w:r>
    </w:p>
    <w:p w:rsidR="00020306" w:rsidRPr="0057507F" w:rsidRDefault="00020306" w:rsidP="00020306">
      <w:pPr>
        <w:numPr>
          <w:ilvl w:val="0"/>
          <w:numId w:val="2"/>
        </w:numPr>
        <w:spacing w:after="0"/>
        <w:ind w:left="450" w:hanging="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Revizione 4, ____________</w:t>
      </w:r>
    </w:p>
    <w:p w:rsidR="00020306" w:rsidRPr="0057507F" w:rsidRDefault="00020306" w:rsidP="00020306">
      <w:pPr>
        <w:numPr>
          <w:ilvl w:val="0"/>
          <w:numId w:val="2"/>
        </w:numPr>
        <w:spacing w:after="0"/>
        <w:ind w:left="450" w:hanging="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 xml:space="preserve">Përgjigje në revizion 1, </w:t>
      </w:r>
    </w:p>
    <w:p w:rsidR="00020306" w:rsidRPr="0057507F" w:rsidRDefault="00020306" w:rsidP="00020306">
      <w:pPr>
        <w:numPr>
          <w:ilvl w:val="0"/>
          <w:numId w:val="2"/>
        </w:numPr>
        <w:spacing w:after="0"/>
        <w:ind w:left="450" w:hanging="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 xml:space="preserve">Kërkesë për mbrojtje të ligjshmërisë 11, </w:t>
      </w:r>
    </w:p>
    <w:p w:rsidR="00020306" w:rsidRPr="0057507F" w:rsidRDefault="00020306" w:rsidP="00020306">
      <w:pPr>
        <w:numPr>
          <w:ilvl w:val="0"/>
          <w:numId w:val="2"/>
        </w:numPr>
        <w:spacing w:after="0"/>
        <w:ind w:left="450" w:hanging="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Kundërshtime/Prapësime 10,</w:t>
      </w:r>
    </w:p>
    <w:p w:rsidR="00020306" w:rsidRPr="0057507F" w:rsidRDefault="00020306" w:rsidP="00020306">
      <w:pPr>
        <w:numPr>
          <w:ilvl w:val="0"/>
          <w:numId w:val="2"/>
        </w:numPr>
        <w:spacing w:after="0"/>
        <w:ind w:left="450" w:hanging="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Parashtresa 77,</w:t>
      </w:r>
    </w:p>
    <w:p w:rsidR="00020306" w:rsidRPr="0057507F" w:rsidRDefault="00020306" w:rsidP="00020306">
      <w:pPr>
        <w:numPr>
          <w:ilvl w:val="0"/>
          <w:numId w:val="2"/>
        </w:numPr>
        <w:spacing w:after="0"/>
        <w:ind w:left="450" w:hanging="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Kërkesa drejtorive 115,</w:t>
      </w:r>
    </w:p>
    <w:p w:rsidR="00020306" w:rsidRPr="0057507F" w:rsidRDefault="00020306" w:rsidP="00020306">
      <w:pPr>
        <w:numPr>
          <w:ilvl w:val="0"/>
          <w:numId w:val="2"/>
        </w:numPr>
        <w:spacing w:after="0"/>
        <w:ind w:left="450" w:hanging="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 xml:space="preserve">Tërheqje të padive 1,  </w:t>
      </w:r>
    </w:p>
    <w:p w:rsidR="00020306" w:rsidRPr="0057507F" w:rsidRDefault="00020306" w:rsidP="00020306">
      <w:pPr>
        <w:numPr>
          <w:ilvl w:val="0"/>
          <w:numId w:val="2"/>
        </w:numPr>
        <w:spacing w:after="0"/>
        <w:ind w:left="450" w:hanging="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 xml:space="preserve">Aktgjykimeve – aktvendimeve të gjykatës themelore 158, </w:t>
      </w:r>
    </w:p>
    <w:p w:rsidR="00020306" w:rsidRPr="0057507F" w:rsidRDefault="00020306" w:rsidP="00020306">
      <w:pPr>
        <w:numPr>
          <w:ilvl w:val="0"/>
          <w:numId w:val="2"/>
        </w:numPr>
        <w:spacing w:after="0"/>
        <w:ind w:left="450" w:hanging="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 xml:space="preserve">Aktgjykimeve – aktvendimeve të gjykatës së Apelit 59, </w:t>
      </w:r>
    </w:p>
    <w:p w:rsidR="00020306" w:rsidRDefault="00020306" w:rsidP="00020306">
      <w:pPr>
        <w:numPr>
          <w:ilvl w:val="0"/>
          <w:numId w:val="2"/>
        </w:numPr>
        <w:spacing w:after="0"/>
        <w:ind w:left="450" w:hanging="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Pranimi i thirrjeve për seancë 140.</w:t>
      </w:r>
    </w:p>
    <w:p w:rsidR="00020306" w:rsidRDefault="00020306" w:rsidP="00020306">
      <w:pPr>
        <w:spacing w:after="0"/>
        <w:jc w:val="both"/>
        <w:rPr>
          <w:rFonts w:ascii="Times New Roman" w:eastAsia="MS Mincho" w:hAnsi="Times New Roman" w:cs="Times New Roman"/>
          <w:sz w:val="24"/>
          <w:szCs w:val="24"/>
        </w:rPr>
      </w:pPr>
    </w:p>
    <w:p w:rsidR="00020306" w:rsidRPr="0057507F" w:rsidRDefault="00020306" w:rsidP="00020306">
      <w:pPr>
        <w:spacing w:after="0"/>
        <w:jc w:val="both"/>
        <w:rPr>
          <w:rFonts w:ascii="Times New Roman" w:eastAsia="Times New Roman" w:hAnsi="Times New Roman" w:cs="Times New Roman"/>
          <w:b/>
          <w:sz w:val="24"/>
          <w:szCs w:val="24"/>
        </w:rPr>
      </w:pPr>
      <w:r w:rsidRPr="0057507F">
        <w:rPr>
          <w:rFonts w:ascii="Times New Roman" w:eastAsia="Times New Roman" w:hAnsi="Times New Roman" w:cs="Times New Roman"/>
          <w:b/>
          <w:sz w:val="24"/>
          <w:szCs w:val="24"/>
        </w:rPr>
        <w:t xml:space="preserve">Detyrimet Kontingjente: </w:t>
      </w:r>
    </w:p>
    <w:p w:rsidR="00020306" w:rsidRPr="0057507F" w:rsidRDefault="00020306" w:rsidP="00020306">
      <w:pPr>
        <w:spacing w:after="0"/>
        <w:jc w:val="both"/>
        <w:rPr>
          <w:rFonts w:ascii="Times New Roman" w:eastAsia="Times New Roman" w:hAnsi="Times New Roman" w:cs="Times New Roman"/>
          <w:b/>
          <w:sz w:val="24"/>
          <w:szCs w:val="24"/>
        </w:rPr>
      </w:pPr>
      <w:r w:rsidRPr="0057507F">
        <w:rPr>
          <w:rFonts w:ascii="Times New Roman" w:eastAsia="Times New Roman" w:hAnsi="Times New Roman" w:cs="Times New Roman"/>
          <w:b/>
          <w:sz w:val="24"/>
          <w:szCs w:val="24"/>
        </w:rPr>
        <w:t>Gjithsejtë</w:t>
      </w:r>
      <w:r>
        <w:rPr>
          <w:rFonts w:ascii="Times New Roman" w:eastAsia="Times New Roman" w:hAnsi="Times New Roman" w:cs="Times New Roman"/>
          <w:b/>
          <w:sz w:val="24"/>
          <w:szCs w:val="24"/>
        </w:rPr>
        <w:t xml:space="preserve"> </w:t>
      </w:r>
      <w:r w:rsidRPr="0057507F">
        <w:rPr>
          <w:rFonts w:ascii="Times New Roman" w:eastAsia="Times New Roman" w:hAnsi="Times New Roman" w:cs="Times New Roman"/>
          <w:b/>
          <w:sz w:val="24"/>
          <w:szCs w:val="24"/>
        </w:rPr>
        <w:t>10,000,000.00</w:t>
      </w:r>
      <w:r>
        <w:rPr>
          <w:rFonts w:ascii="Times New Roman" w:eastAsia="Times New Roman" w:hAnsi="Times New Roman" w:cs="Times New Roman"/>
          <w:b/>
          <w:sz w:val="24"/>
          <w:szCs w:val="24"/>
        </w:rPr>
        <w:t xml:space="preserve"> (dhjetë m</w:t>
      </w:r>
      <w:r w:rsidRPr="0057507F">
        <w:rPr>
          <w:rFonts w:ascii="Times New Roman" w:eastAsia="Times New Roman" w:hAnsi="Times New Roman" w:cs="Times New Roman"/>
          <w:b/>
          <w:sz w:val="24"/>
          <w:szCs w:val="24"/>
        </w:rPr>
        <w:t>ilion).</w:t>
      </w:r>
    </w:p>
    <w:p w:rsidR="00020306" w:rsidRPr="0057507F" w:rsidRDefault="00020306" w:rsidP="00020306">
      <w:pPr>
        <w:spacing w:after="0"/>
        <w:jc w:val="both"/>
        <w:rPr>
          <w:rFonts w:ascii="Times New Roman" w:eastAsia="Times New Roman" w:hAnsi="Times New Roman" w:cs="Times New Roman"/>
          <w:b/>
          <w:sz w:val="24"/>
          <w:szCs w:val="24"/>
        </w:rPr>
      </w:pPr>
    </w:p>
    <w:p w:rsidR="00020306" w:rsidRDefault="00020306" w:rsidP="00020306">
      <w:pPr>
        <w:spacing w:after="0"/>
        <w:jc w:val="both"/>
        <w:rPr>
          <w:rFonts w:ascii="Times New Roman" w:eastAsia="Times New Roman" w:hAnsi="Times New Roman" w:cs="Times New Roman"/>
          <w:b/>
          <w:sz w:val="24"/>
          <w:szCs w:val="24"/>
        </w:rPr>
      </w:pPr>
      <w:r w:rsidRPr="0057507F">
        <w:rPr>
          <w:rFonts w:ascii="Times New Roman" w:eastAsia="Times New Roman" w:hAnsi="Times New Roman" w:cs="Times New Roman"/>
          <w:b/>
          <w:sz w:val="24"/>
          <w:szCs w:val="24"/>
        </w:rPr>
        <w:t xml:space="preserve">Sfidat 2019: </w:t>
      </w:r>
    </w:p>
    <w:p w:rsidR="00020306" w:rsidRPr="0057507F" w:rsidRDefault="00020306" w:rsidP="00020306">
      <w:pPr>
        <w:spacing w:after="0"/>
        <w:jc w:val="both"/>
        <w:rPr>
          <w:rFonts w:ascii="Times New Roman" w:eastAsia="Times New Roman" w:hAnsi="Times New Roman" w:cs="Times New Roman"/>
          <w:b/>
          <w:sz w:val="24"/>
          <w:szCs w:val="24"/>
        </w:rPr>
      </w:pPr>
    </w:p>
    <w:p w:rsidR="00020306" w:rsidRPr="0057507F" w:rsidRDefault="00020306" w:rsidP="00020306">
      <w:pPr>
        <w:numPr>
          <w:ilvl w:val="0"/>
          <w:numId w:val="1"/>
        </w:numPr>
        <w:spacing w:after="160"/>
        <w:ind w:left="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Numri i madh i lëndëve gjyqësore në raport me komunën.</w:t>
      </w:r>
    </w:p>
    <w:p w:rsidR="00020306" w:rsidRPr="0057507F" w:rsidRDefault="00020306" w:rsidP="00020306">
      <w:pPr>
        <w:numPr>
          <w:ilvl w:val="0"/>
          <w:numId w:val="1"/>
        </w:numPr>
        <w:spacing w:after="160"/>
        <w:ind w:left="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Problem mbetet edhe më tutje zgjidhja e çështjes së shpronësimeve që kanë ndodhur para lufte dhe pas lufte.</w:t>
      </w:r>
    </w:p>
    <w:p w:rsidR="00020306" w:rsidRPr="0057507F" w:rsidRDefault="00020306" w:rsidP="00020306">
      <w:pPr>
        <w:numPr>
          <w:ilvl w:val="0"/>
          <w:numId w:val="1"/>
        </w:numPr>
        <w:spacing w:after="160"/>
        <w:ind w:left="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 xml:space="preserve">Hapja e rrugëve të ndryshme, nuk duhet të ndodh pa përfunduar shpronësimet në aspektin formal, si dhe të ketë ndonjë deklaratë nga pronarët në rast të hapjes së rrugëve që pajtohen dhe që heqin dorë nga paditë eventuale për kompensim për ndonjë rrugë që nuk është me interes publik. </w:t>
      </w:r>
    </w:p>
    <w:p w:rsidR="00020306" w:rsidRPr="0057507F" w:rsidRDefault="00020306" w:rsidP="00020306">
      <w:pPr>
        <w:numPr>
          <w:ilvl w:val="0"/>
          <w:numId w:val="1"/>
        </w:numPr>
        <w:spacing w:after="160"/>
        <w:ind w:left="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lastRenderedPageBreak/>
        <w:t xml:space="preserve">Problem i vazhdueshëm mbeten lëndët e ndryshme nga fusha e arsimit dhe shëndetësisë (mos pagesave të pagave për angazhimet në punë në të kaluarën, mos pagesa e pagave me rastin e  pensionimit dhe kompensimet tjera </w:t>
      </w:r>
      <w:proofErr w:type="spellStart"/>
      <w:r w:rsidRPr="0057507F">
        <w:rPr>
          <w:rFonts w:ascii="Times New Roman" w:eastAsia="MS Mincho" w:hAnsi="Times New Roman" w:cs="Times New Roman"/>
          <w:sz w:val="24"/>
          <w:szCs w:val="24"/>
        </w:rPr>
        <w:t>konformë</w:t>
      </w:r>
      <w:proofErr w:type="spellEnd"/>
      <w:r w:rsidRPr="0057507F">
        <w:rPr>
          <w:rFonts w:ascii="Times New Roman" w:eastAsia="MS Mincho" w:hAnsi="Times New Roman" w:cs="Times New Roman"/>
          <w:sz w:val="24"/>
          <w:szCs w:val="24"/>
        </w:rPr>
        <w:t xml:space="preserve"> kontratave kolektive etj.</w:t>
      </w:r>
    </w:p>
    <w:p w:rsidR="00020306" w:rsidRPr="0057507F" w:rsidRDefault="00020306" w:rsidP="00020306">
      <w:pPr>
        <w:numPr>
          <w:ilvl w:val="0"/>
          <w:numId w:val="1"/>
        </w:numPr>
        <w:spacing w:after="160"/>
        <w:ind w:left="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Në këtë çështje problem në vete mbetet menaxhimi jo i mirë kontratave nga organi mbikëqyrës dhe që rezultojnë me efekte negative në procese gjyqësore.</w:t>
      </w:r>
    </w:p>
    <w:p w:rsidR="00020306" w:rsidRPr="0057507F" w:rsidRDefault="00020306" w:rsidP="00020306">
      <w:pPr>
        <w:numPr>
          <w:ilvl w:val="0"/>
          <w:numId w:val="1"/>
        </w:numPr>
        <w:spacing w:after="160"/>
        <w:ind w:left="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Ende mungon një koordinim i mirë i veprimeve me drejtoritë dhe zyrat e komunës.</w:t>
      </w:r>
    </w:p>
    <w:p w:rsidR="00020306" w:rsidRPr="0057507F" w:rsidRDefault="00020306" w:rsidP="00020306">
      <w:pPr>
        <w:numPr>
          <w:ilvl w:val="0"/>
          <w:numId w:val="1"/>
        </w:numPr>
        <w:spacing w:after="160"/>
        <w:ind w:left="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Mos</w:t>
      </w:r>
      <w:r>
        <w:rPr>
          <w:rFonts w:ascii="Times New Roman" w:eastAsia="MS Mincho" w:hAnsi="Times New Roman" w:cs="Times New Roman"/>
          <w:sz w:val="24"/>
          <w:szCs w:val="24"/>
        </w:rPr>
        <w:t xml:space="preserve"> </w:t>
      </w:r>
      <w:r w:rsidRPr="0057507F">
        <w:rPr>
          <w:rFonts w:ascii="Times New Roman" w:eastAsia="MS Mincho" w:hAnsi="Times New Roman" w:cs="Times New Roman"/>
          <w:sz w:val="24"/>
          <w:szCs w:val="24"/>
        </w:rPr>
        <w:t xml:space="preserve">përdorimi i </w:t>
      </w:r>
      <w:proofErr w:type="spellStart"/>
      <w:r w:rsidRPr="0057507F">
        <w:rPr>
          <w:rFonts w:ascii="Times New Roman" w:eastAsia="MS Mincho" w:hAnsi="Times New Roman" w:cs="Times New Roman"/>
          <w:sz w:val="24"/>
          <w:szCs w:val="24"/>
        </w:rPr>
        <w:t>emailave</w:t>
      </w:r>
      <w:proofErr w:type="spellEnd"/>
      <w:r w:rsidRPr="0057507F">
        <w:rPr>
          <w:rFonts w:ascii="Times New Roman" w:eastAsia="MS Mincho" w:hAnsi="Times New Roman" w:cs="Times New Roman"/>
          <w:sz w:val="24"/>
          <w:szCs w:val="24"/>
        </w:rPr>
        <w:t xml:space="preserve"> zyrtarë nga zyrtarët e ndryshëm komunal është një pengese në fushën e komunikimit që ndikon direkt edhe në punën tonë si zyrë.</w:t>
      </w:r>
    </w:p>
    <w:p w:rsidR="00020306" w:rsidRPr="00C72C77" w:rsidRDefault="00020306" w:rsidP="00020306">
      <w:pPr>
        <w:numPr>
          <w:ilvl w:val="0"/>
          <w:numId w:val="1"/>
        </w:numPr>
        <w:spacing w:after="160"/>
        <w:ind w:left="450"/>
        <w:jc w:val="both"/>
        <w:rPr>
          <w:rFonts w:ascii="Times New Roman" w:eastAsia="MS Mincho" w:hAnsi="Times New Roman" w:cs="Times New Roman"/>
          <w:sz w:val="24"/>
          <w:szCs w:val="24"/>
        </w:rPr>
      </w:pPr>
      <w:r w:rsidRPr="0057507F">
        <w:rPr>
          <w:rFonts w:ascii="Times New Roman" w:eastAsia="MS Mincho" w:hAnsi="Times New Roman" w:cs="Times New Roman"/>
          <w:sz w:val="24"/>
          <w:szCs w:val="24"/>
        </w:rPr>
        <w:t>Si dhe probleme të natyrave të ndryshme.</w:t>
      </w:r>
    </w:p>
    <w:p w:rsidR="000054A9" w:rsidRDefault="000054A9"/>
    <w:sectPr w:rsidR="00005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659E6"/>
    <w:multiLevelType w:val="hybridMultilevel"/>
    <w:tmpl w:val="B82265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D85E09"/>
    <w:multiLevelType w:val="hybridMultilevel"/>
    <w:tmpl w:val="37C048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306"/>
    <w:rsid w:val="000054A9"/>
    <w:rsid w:val="00020306"/>
    <w:rsid w:val="00E1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306"/>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306"/>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Ilmi Musliu</dc:creator>
  <cp:lastModifiedBy>Ilmi Musliu</cp:lastModifiedBy>
  <cp:revision>2</cp:revision>
  <dcterms:created xsi:type="dcterms:W3CDTF">2019-07-30T06:55:00Z</dcterms:created>
  <dcterms:modified xsi:type="dcterms:W3CDTF">2019-07-30T08:55:00Z</dcterms:modified>
</cp:coreProperties>
</file>