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42" w:rsidRPr="00995171" w:rsidRDefault="00CC1A42" w:rsidP="00CC1A42">
      <w:pPr>
        <w:pStyle w:val="Heading6"/>
        <w:rPr>
          <w:rFonts w:ascii="Book Antiqua" w:hAnsi="Book Antiqua"/>
          <w:vanish/>
          <w:sz w:val="32"/>
          <w:specVanish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171450</wp:posOffset>
                </wp:positionV>
                <wp:extent cx="3429000" cy="9906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42" w:rsidRDefault="00CC1A42" w:rsidP="00CC1A42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REPUBLIKA E KOSOVËS</w:t>
                            </w: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REPUBLIKA KOSOVA/REPUBLIC OF KOSOVO</w:t>
                            </w:r>
                          </w:p>
                          <w:p w:rsid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KOMUNA E GJILANIT</w:t>
                            </w: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OPŠTINA GNJILANE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/MUNICIPAL GJILAN/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GILAN  BELEDIYESI</w:t>
                            </w:r>
                          </w:p>
                          <w:p w:rsidR="00CC1A42" w:rsidRDefault="00CC1A42" w:rsidP="00CC1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13.5pt;width:2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">
                <v:textbox>
                  <w:txbxContent>
                    <w:p w:rsidR="00CC1A42" w:rsidRDefault="00CC1A42" w:rsidP="00CC1A42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REPUBLIKA E KOSOVËS</w:t>
                      </w: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REPUBLIKA KOSOVA/REPUBLIC OF KOSOVO</w:t>
                      </w:r>
                    </w:p>
                    <w:p w:rsid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KOMUNA E GJILANIT</w:t>
                      </w: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OPŠTINA GNJILANE</w:t>
                      </w:r>
                      <w:r w:rsidRPr="00CC1A42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/MUNICIPAL GJILAN/</w:t>
                      </w: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GILAN  BELEDIYESI</w:t>
                      </w:r>
                    </w:p>
                    <w:p w:rsidR="00CC1A42" w:rsidRDefault="00CC1A42" w:rsidP="00CC1A4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914400" cy="10477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762000" cy="102870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Default="00F6632B" w:rsidP="00F6632B">
      <w:pPr>
        <w:jc w:val="center"/>
        <w:rPr>
          <w:b/>
          <w:i/>
        </w:rPr>
      </w:pPr>
    </w:p>
    <w:p w:rsidR="00D4553F" w:rsidRDefault="00D4553F" w:rsidP="00F6632B">
      <w:pPr>
        <w:jc w:val="center"/>
        <w:rPr>
          <w:b/>
          <w:i/>
        </w:rPr>
      </w:pPr>
    </w:p>
    <w:p w:rsid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371EB2" w:rsidRDefault="00F6632B" w:rsidP="00F6632B">
      <w:pPr>
        <w:jc w:val="center"/>
        <w:rPr>
          <w:b/>
          <w:bCs/>
          <w:sz w:val="36"/>
          <w:szCs w:val="36"/>
        </w:rPr>
      </w:pPr>
      <w:r w:rsidRPr="00371EB2">
        <w:rPr>
          <w:b/>
          <w:bCs/>
          <w:sz w:val="36"/>
          <w:szCs w:val="36"/>
        </w:rPr>
        <w:t xml:space="preserve">RREGULLORE PËR TATIMIN </w:t>
      </w:r>
    </w:p>
    <w:p w:rsidR="00F6632B" w:rsidRPr="00371EB2" w:rsidRDefault="00F6632B" w:rsidP="00F6632B">
      <w:pPr>
        <w:jc w:val="center"/>
        <w:rPr>
          <w:b/>
          <w:bCs/>
          <w:sz w:val="36"/>
          <w:szCs w:val="36"/>
          <w:lang w:val="de-DE"/>
        </w:rPr>
      </w:pPr>
      <w:r w:rsidRPr="00371EB2">
        <w:rPr>
          <w:b/>
          <w:bCs/>
          <w:sz w:val="36"/>
          <w:szCs w:val="36"/>
          <w:lang w:val="de-DE"/>
        </w:rPr>
        <w:t>MBI PRONËN E PALUAJTSHME PËR VITIN 20</w:t>
      </w:r>
      <w:r w:rsidR="001B2BD4">
        <w:rPr>
          <w:b/>
          <w:bCs/>
          <w:sz w:val="36"/>
          <w:szCs w:val="36"/>
          <w:lang w:val="de-DE"/>
        </w:rPr>
        <w:t>20</w:t>
      </w:r>
    </w:p>
    <w:p w:rsidR="00E66F99" w:rsidRPr="00F6632B" w:rsidRDefault="00E66F99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371EB2" w:rsidRDefault="00FD2B2C" w:rsidP="00FD2B2C">
      <w:pPr>
        <w:pStyle w:val="Heading2"/>
        <w:jc w:val="left"/>
        <w:rPr>
          <w:sz w:val="28"/>
          <w:szCs w:val="28"/>
        </w:rPr>
      </w:pPr>
      <w:r>
        <w:rPr>
          <w:b w:val="0"/>
          <w:bCs w:val="0"/>
          <w:lang w:val="sq-AL"/>
        </w:rPr>
        <w:t xml:space="preserve">                               </w:t>
      </w:r>
      <w:r w:rsidR="00FB2D4B">
        <w:rPr>
          <w:b w:val="0"/>
          <w:bCs w:val="0"/>
          <w:lang w:val="sq-AL"/>
        </w:rPr>
        <w:t xml:space="preserve">                               </w:t>
      </w:r>
      <w:r w:rsidR="00F6632B" w:rsidRPr="00371EB2">
        <w:rPr>
          <w:sz w:val="28"/>
          <w:szCs w:val="28"/>
        </w:rPr>
        <w:t xml:space="preserve"> </w:t>
      </w:r>
      <w:r w:rsidR="00FB2D4B">
        <w:rPr>
          <w:sz w:val="28"/>
          <w:szCs w:val="28"/>
        </w:rPr>
        <w:t xml:space="preserve">Nëntor </w:t>
      </w:r>
      <w:r w:rsidR="00F6632B" w:rsidRPr="00371EB2">
        <w:rPr>
          <w:sz w:val="28"/>
          <w:szCs w:val="28"/>
        </w:rPr>
        <w:t>201</w:t>
      </w:r>
      <w:r w:rsidR="001B2BD4">
        <w:rPr>
          <w:sz w:val="28"/>
          <w:szCs w:val="28"/>
        </w:rPr>
        <w:t>9</w:t>
      </w:r>
    </w:p>
    <w:p w:rsidR="00F6632B" w:rsidRPr="00371EB2" w:rsidRDefault="00FD2B2C" w:rsidP="00F6632B">
      <w:pPr>
        <w:jc w:val="center"/>
        <w:rPr>
          <w:b/>
          <w:bCs/>
          <w:i/>
          <w:sz w:val="28"/>
          <w:szCs w:val="28"/>
          <w:lang w:val="de-DE"/>
        </w:rPr>
      </w:pPr>
      <w:r>
        <w:rPr>
          <w:b/>
          <w:bCs/>
          <w:i/>
          <w:sz w:val="28"/>
          <w:szCs w:val="28"/>
          <w:lang w:val="de-DE"/>
        </w:rPr>
        <w:t>Gjilan</w:t>
      </w:r>
    </w:p>
    <w:p w:rsidR="006F3316" w:rsidRDefault="006F3316" w:rsidP="00F6632B">
      <w:pPr>
        <w:jc w:val="both"/>
      </w:pPr>
    </w:p>
    <w:p w:rsidR="00F6632B" w:rsidRPr="00F6632B" w:rsidRDefault="00F6632B" w:rsidP="00F6632B">
      <w:pPr>
        <w:jc w:val="both"/>
      </w:pPr>
      <w:r w:rsidRPr="00F6632B">
        <w:lastRenderedPageBreak/>
        <w:t xml:space="preserve">Në mbështetje </w:t>
      </w:r>
      <w:r w:rsidR="00B32F7D">
        <w:t xml:space="preserve">të Ligjit Nr. 03/L-204, </w:t>
      </w:r>
      <w:r w:rsidRPr="00F6632B">
        <w:t>të Ligjit Nr. 06/L-005 për T</w:t>
      </w:r>
      <w:r w:rsidR="00BC01C1">
        <w:t xml:space="preserve">atimin në Pronën e Paluajtshme </w:t>
      </w:r>
      <w:r w:rsidRPr="00F6632B">
        <w:t>neni</w:t>
      </w:r>
      <w:r w:rsidR="00B32F7D">
        <w:t>t 9.1, si dhe të Ligjit Nr. 03/L-040 për Vetëqeverisje L</w:t>
      </w:r>
      <w:r w:rsidRPr="00F6632B">
        <w:t xml:space="preserve">okale, Drejtoria </w:t>
      </w:r>
      <w:r w:rsidR="000A7BBB">
        <w:t>për</w:t>
      </w:r>
      <w:r>
        <w:t xml:space="preserve"> Buxhet dhe Financa</w:t>
      </w:r>
      <w:r w:rsidR="00FD2B2C">
        <w:t>,</w:t>
      </w:r>
      <w:r>
        <w:t xml:space="preserve"> </w:t>
      </w:r>
      <w:r w:rsidR="006146D3">
        <w:t xml:space="preserve">e </w:t>
      </w:r>
      <w:r>
        <w:t>Komun</w:t>
      </w:r>
      <w:r w:rsidR="000A7BBB">
        <w:t>ë</w:t>
      </w:r>
      <w:r w:rsidR="006146D3">
        <w:t>s</w:t>
      </w:r>
      <w:r>
        <w:t xml:space="preserve"> </w:t>
      </w:r>
      <w:r w:rsidR="005F5F48">
        <w:t>së</w:t>
      </w:r>
      <w:r>
        <w:t xml:space="preserve"> </w:t>
      </w:r>
      <w:r w:rsidR="00FD2B2C" w:rsidRPr="00FD2B2C">
        <w:rPr>
          <w:b/>
        </w:rPr>
        <w:t>Gjilanit</w:t>
      </w:r>
      <w:r>
        <w:t xml:space="preserve"> </w:t>
      </w:r>
      <w:r w:rsidR="006F3316">
        <w:t>në seancën e mbajtur më 26.11.2019 miraton</w:t>
      </w:r>
      <w:r w:rsidRPr="00F6632B">
        <w:t xml:space="preserve"> këtë:</w:t>
      </w:r>
    </w:p>
    <w:p w:rsidR="00F6632B" w:rsidRDefault="00F6632B" w:rsidP="00F6632B">
      <w:pPr>
        <w:jc w:val="both"/>
      </w:pPr>
    </w:p>
    <w:p w:rsidR="00D4553F" w:rsidRDefault="00D4553F" w:rsidP="00F6632B">
      <w:pPr>
        <w:jc w:val="both"/>
      </w:pPr>
    </w:p>
    <w:p w:rsidR="00F6632B" w:rsidRPr="00F6632B" w:rsidRDefault="00F6632B" w:rsidP="00F6632B">
      <w:pPr>
        <w:jc w:val="both"/>
      </w:pPr>
    </w:p>
    <w:p w:rsidR="00F6632B" w:rsidRDefault="00F6632B" w:rsidP="00F6632B">
      <w:pPr>
        <w:pStyle w:val="Heading1"/>
        <w:rPr>
          <w:sz w:val="24"/>
        </w:rPr>
      </w:pPr>
      <w:r w:rsidRPr="00A7535C">
        <w:rPr>
          <w:sz w:val="24"/>
        </w:rPr>
        <w:t>RREGULLORE P</w:t>
      </w:r>
      <w:r w:rsidR="000A7BBB">
        <w:rPr>
          <w:sz w:val="24"/>
        </w:rPr>
        <w:t>Ë</w:t>
      </w:r>
      <w:r w:rsidRPr="00A7535C">
        <w:rPr>
          <w:sz w:val="24"/>
        </w:rPr>
        <w:t>R TATIMIN NË PRONËN E PALUAJTSHME</w:t>
      </w:r>
    </w:p>
    <w:p w:rsidR="00A7535C" w:rsidRPr="00A7535C" w:rsidRDefault="00A7535C" w:rsidP="00A7535C"/>
    <w:p w:rsidR="00F6632B" w:rsidRPr="00A7535C" w:rsidRDefault="00F11A90" w:rsidP="00F6632B">
      <w:pPr>
        <w:pStyle w:val="Heading1"/>
        <w:numPr>
          <w:ilvl w:val="0"/>
          <w:numId w:val="2"/>
        </w:numPr>
        <w:rPr>
          <w:sz w:val="24"/>
        </w:rPr>
      </w:pPr>
      <w:r>
        <w:rPr>
          <w:sz w:val="24"/>
        </w:rPr>
        <w:t>për vitin 2020</w:t>
      </w:r>
    </w:p>
    <w:p w:rsidR="00F6632B" w:rsidRDefault="00F6632B" w:rsidP="00F6632B">
      <w:pPr>
        <w:jc w:val="both"/>
      </w:pPr>
    </w:p>
    <w:p w:rsid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Neni 1</w:t>
      </w:r>
    </w:p>
    <w:p w:rsidR="00F6632B" w:rsidRP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Baza Tatimore</w:t>
      </w:r>
    </w:p>
    <w:p w:rsidR="00F6632B" w:rsidRDefault="00F6632B" w:rsidP="00F6632B">
      <w:pPr>
        <w:jc w:val="both"/>
        <w:rPr>
          <w:b/>
          <w:bCs/>
        </w:rPr>
      </w:pPr>
    </w:p>
    <w:p w:rsidR="00D4553F" w:rsidRPr="00F6632B" w:rsidRDefault="00D4553F" w:rsidP="00F6632B">
      <w:pPr>
        <w:jc w:val="both"/>
        <w:rPr>
          <w:b/>
          <w:bCs/>
        </w:rPr>
      </w:pPr>
    </w:p>
    <w:p w:rsidR="00F6632B" w:rsidRDefault="00214DD6" w:rsidP="00F6632B">
      <w:pPr>
        <w:jc w:val="both"/>
      </w:pPr>
      <w:r>
        <w:rPr>
          <w:bCs/>
        </w:rPr>
        <w:t>Në zbatim të Ligjir nr.03/L-204 p</w:t>
      </w:r>
      <w:r w:rsidR="003C72CA">
        <w:rPr>
          <w:bCs/>
        </w:rPr>
        <w:t>ër vitin 20</w:t>
      </w:r>
      <w:r w:rsidR="001B2BD4">
        <w:rPr>
          <w:bCs/>
        </w:rPr>
        <w:t>20</w:t>
      </w:r>
      <w:r w:rsidR="003C72CA">
        <w:rPr>
          <w:bCs/>
        </w:rPr>
        <w:t xml:space="preserve"> </w:t>
      </w:r>
      <w:r w:rsidR="00124A77">
        <w:rPr>
          <w:bCs/>
        </w:rPr>
        <w:t>zonat tatimore</w:t>
      </w:r>
      <w:r w:rsidR="002F3CF9">
        <w:rPr>
          <w:bCs/>
        </w:rPr>
        <w:t xml:space="preserve"> të objekteve komerciale, industriale</w:t>
      </w:r>
      <w:r w:rsidR="00124A77">
        <w:rPr>
          <w:bCs/>
        </w:rPr>
        <w:t xml:space="preserve"> dhe nivelet e vlerave </w:t>
      </w:r>
      <w:r w:rsidR="0059138A">
        <w:rPr>
          <w:bCs/>
        </w:rPr>
        <w:t>për M</w:t>
      </w:r>
      <w:r w:rsidR="0059138A" w:rsidRPr="0059138A">
        <w:rPr>
          <w:bCs/>
          <w:vertAlign w:val="superscript"/>
        </w:rPr>
        <w:t>2</w:t>
      </w:r>
      <w:r w:rsidR="0059138A">
        <w:rPr>
          <w:bCs/>
        </w:rPr>
        <w:t xml:space="preserve"> </w:t>
      </w:r>
      <w:r w:rsidR="00F6632B" w:rsidRPr="00F6632B">
        <w:t xml:space="preserve">në </w:t>
      </w:r>
      <w:r w:rsidR="00F6632B">
        <w:t>K</w:t>
      </w:r>
      <w:r w:rsidR="00F6632B" w:rsidRPr="00F6632B">
        <w:t xml:space="preserve">omunën e </w:t>
      </w:r>
      <w:r w:rsidR="00FD2B2C">
        <w:t>Gjilanit</w:t>
      </w:r>
      <w:r w:rsidR="00F6632B" w:rsidRPr="00F6632B">
        <w:t>,</w:t>
      </w:r>
      <w:r w:rsidR="00124A77">
        <w:t xml:space="preserve"> caktohen</w:t>
      </w:r>
      <w:r w:rsidR="00F6632B" w:rsidRPr="00F6632B">
        <w:t xml:space="preserve"> si </w:t>
      </w:r>
      <w:r w:rsidR="00F6632B">
        <w:t>vijon</w:t>
      </w:r>
      <w:r w:rsidR="00F6632B" w:rsidRPr="00F6632B">
        <w:t>:</w:t>
      </w:r>
    </w:p>
    <w:p w:rsidR="00D4553F" w:rsidRDefault="00D4553F" w:rsidP="00F6632B">
      <w:pPr>
        <w:jc w:val="both"/>
      </w:pPr>
    </w:p>
    <w:p w:rsidR="00D4553F" w:rsidRPr="00F6632B" w:rsidRDefault="00D4553F" w:rsidP="00F6632B">
      <w:pPr>
        <w:jc w:val="both"/>
      </w:pPr>
      <w:bookmarkStart w:id="0" w:name="_GoBack"/>
      <w:bookmarkEnd w:id="0"/>
    </w:p>
    <w:p w:rsidR="00F6632B" w:rsidRPr="00F6632B" w:rsidRDefault="00F6632B" w:rsidP="00F6632B">
      <w:pPr>
        <w:jc w:val="both"/>
      </w:pPr>
    </w:p>
    <w:tbl>
      <w:tblPr>
        <w:tblStyle w:val="TableGrid"/>
        <w:tblW w:w="8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85"/>
        <w:gridCol w:w="105"/>
        <w:gridCol w:w="488"/>
        <w:gridCol w:w="142"/>
        <w:gridCol w:w="456"/>
        <w:gridCol w:w="264"/>
        <w:gridCol w:w="494"/>
        <w:gridCol w:w="30"/>
        <w:gridCol w:w="196"/>
        <w:gridCol w:w="720"/>
        <w:gridCol w:w="720"/>
        <w:gridCol w:w="630"/>
        <w:gridCol w:w="287"/>
        <w:gridCol w:w="595"/>
        <w:gridCol w:w="598"/>
      </w:tblGrid>
      <w:tr w:rsidR="00C11268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996" w:rsidRPr="00F6632B" w:rsidRDefault="00617996" w:rsidP="00F3714C">
            <w:pPr>
              <w:pStyle w:val="BodyText2"/>
              <w:jc w:val="left"/>
              <w:rPr>
                <w:b/>
                <w:bCs/>
                <w:i w:val="0"/>
              </w:rPr>
            </w:pPr>
            <w:r w:rsidRPr="00F6632B">
              <w:rPr>
                <w:b/>
                <w:bCs/>
                <w:i w:val="0"/>
              </w:rPr>
              <w:t xml:space="preserve">Kategoria e </w:t>
            </w:r>
            <w:r>
              <w:rPr>
                <w:b/>
                <w:bCs/>
                <w:i w:val="0"/>
              </w:rPr>
              <w:t>Vlerës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F6632B" w:rsidRDefault="00617996" w:rsidP="005F5F48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  <w:r>
              <w:rPr>
                <w:b/>
                <w:bCs/>
                <w:i w:val="0"/>
                <w:lang w:val="it-IT"/>
              </w:rPr>
              <w:t>Nivelet e vlerave</w:t>
            </w:r>
            <w:r w:rsidR="00D03962">
              <w:rPr>
                <w:b/>
                <w:bCs/>
                <w:i w:val="0"/>
                <w:lang w:val="it-IT"/>
              </w:rPr>
              <w:t xml:space="preserve"> p</w:t>
            </w:r>
            <w:r w:rsidR="005F5F48">
              <w:rPr>
                <w:b/>
                <w:bCs/>
                <w:i w:val="0"/>
                <w:lang w:val="it-IT"/>
              </w:rPr>
              <w:t>ë</w:t>
            </w:r>
            <w:r w:rsidR="00D03962">
              <w:rPr>
                <w:b/>
                <w:bCs/>
                <w:i w:val="0"/>
                <w:lang w:val="it-IT"/>
              </w:rPr>
              <w:t>r M</w:t>
            </w:r>
            <w:r w:rsidR="00D03962" w:rsidRPr="00D03962">
              <w:rPr>
                <w:b/>
                <w:bCs/>
                <w:i w:val="0"/>
                <w:vertAlign w:val="superscript"/>
                <w:lang w:val="it-I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595" w:type="dxa"/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598" w:type="dxa"/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</w:tr>
      <w:tr w:rsidR="00962AD5" w:rsidRPr="00F6632B" w:rsidTr="001B2BD4">
        <w:trPr>
          <w:trHeight w:val="273"/>
        </w:trPr>
        <w:tc>
          <w:tcPr>
            <w:tcW w:w="541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8D141F" w:rsidP="00C60BEF">
            <w:pPr>
              <w:pStyle w:val="BodyText2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2</w:t>
            </w:r>
            <w:r w:rsidR="00C60BEF">
              <w:rPr>
                <w:b/>
                <w:i w:val="0"/>
              </w:rPr>
              <w:t>.</w:t>
            </w:r>
            <w:r w:rsidR="00962AD5" w:rsidRPr="00AD4463">
              <w:rPr>
                <w:b/>
                <w:i w:val="0"/>
              </w:rPr>
              <w:t>Pronë komerciale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</w:tcBorders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</w:tr>
      <w:tr w:rsidR="00F3714C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Default="00A95A5F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Dyqan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3714C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Default="00962AD5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Zyrë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Restorant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Hotel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79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D0396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 xml:space="preserve">Objekt për magazinim </w:t>
            </w:r>
            <w:r w:rsidR="00617996" w:rsidRPr="00580412">
              <w:t>komercial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51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Garazh komercial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79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Pishinë për shfrytëzim komercial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Fushë sportive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F6632B" w:rsidTr="001B2BD4">
        <w:trPr>
          <w:trHeight w:val="50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580412" w:rsidRDefault="008D12A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Fushë e mbyllur sportive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 w:val="restart"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F6632B" w:rsidTr="001B2BD4">
        <w:trPr>
          <w:trHeight w:val="27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580412" w:rsidRDefault="008D12A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Institucionet shkollore private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Pompë benzine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11A90" w:rsidRPr="00F6632B" w:rsidTr="001B2BD4">
        <w:trPr>
          <w:trHeight w:val="92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580412" w:rsidRDefault="00F11A90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 xml:space="preserve">Objekt </w:t>
            </w:r>
            <w:r>
              <w:t>komercial i pashfrytëzuar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546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98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 w:val="restart"/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11A90" w:rsidRPr="00F6632B" w:rsidTr="001B2BD4">
        <w:trPr>
          <w:trHeight w:val="78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580412" w:rsidRDefault="00F11A90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Objekt tjetër komercial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Default="003F0FF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F11A90" w:rsidRPr="00B32F7D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4361BA" w:rsidRPr="00F6632B" w:rsidTr="001B2BD4">
        <w:trPr>
          <w:gridAfter w:val="3"/>
          <w:wAfter w:w="1480" w:type="dxa"/>
          <w:trHeight w:val="259"/>
        </w:trPr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1BA" w:rsidRPr="00AD4463" w:rsidRDefault="008D12A6" w:rsidP="00F3714C">
            <w:pPr>
              <w:pStyle w:val="BodyText2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3.</w:t>
            </w:r>
            <w:r w:rsidR="004361BA" w:rsidRPr="00AD4463">
              <w:rPr>
                <w:b/>
                <w:i w:val="0"/>
              </w:rPr>
              <w:t>Pronë industriale</w:t>
            </w:r>
          </w:p>
        </w:tc>
      </w:tr>
      <w:tr w:rsidR="004361BA" w:rsidRPr="00F6632B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Default="004361BA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lastRenderedPageBreak/>
              <w:t>Fabrikë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97CF0" w:rsidRPr="00F6632B" w:rsidTr="001B2BD4">
        <w:trPr>
          <w:gridAfter w:val="1"/>
          <w:wAfter w:w="598" w:type="dxa"/>
          <w:trHeight w:val="448"/>
        </w:trPr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Default="00F97CF0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t>Punishte</w:t>
            </w:r>
          </w:p>
          <w:p w:rsidR="00F97CF0" w:rsidRDefault="00F97CF0" w:rsidP="00F3714C">
            <w:pPr>
              <w:pStyle w:val="ListParagraph"/>
              <w:ind w:left="697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1B2BD4" w:rsidRPr="00F6632B" w:rsidTr="001B2BD4">
        <w:trPr>
          <w:trHeight w:val="55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B2BD4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>Industri përpunuese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 w:val="restart"/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1B2BD4" w:rsidRPr="00F6632B" w:rsidTr="001B2BD4">
        <w:trPr>
          <w:trHeight w:val="6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B2BD4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 xml:space="preserve">Objekt për magazinim industrial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9235FC" w:rsidP="0019112D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</w:t>
            </w:r>
            <w:r w:rsidR="0019112D">
              <w:rPr>
                <w:bCs/>
                <w:i w:val="0"/>
                <w:lang w:val="it-IT"/>
              </w:rPr>
              <w:t>00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9235FC" w:rsidP="0019112D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</w:t>
            </w:r>
            <w:r w:rsidR="0019112D">
              <w:rPr>
                <w:i w:val="0"/>
              </w:rPr>
              <w:t>60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9235FC" w:rsidP="0019112D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</w:t>
            </w:r>
            <w:r w:rsidR="0019112D">
              <w:rPr>
                <w:bCs/>
                <w:i w:val="0"/>
                <w:lang w:val="it-IT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180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9235FC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1B2BD4" w:rsidRPr="00F6632B" w:rsidTr="001B2BD4">
        <w:trPr>
          <w:trHeight w:val="57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B2BD4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>Objekt tjetër industrial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280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250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64114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Default="0019112D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1B2BD4" w:rsidRPr="00B32F7D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7082B" w:rsidTr="001B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80" w:type="dxa"/>
          <w:trHeight w:val="67"/>
        </w:trPr>
        <w:tc>
          <w:tcPr>
            <w:tcW w:w="7488" w:type="dxa"/>
            <w:gridSpan w:val="13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7082B" w:rsidRPr="00C7082B" w:rsidRDefault="00C7082B" w:rsidP="00F3714C">
            <w:pPr>
              <w:jc w:val="both"/>
              <w:rPr>
                <w:b/>
                <w:bCs/>
              </w:rPr>
            </w:pPr>
          </w:p>
        </w:tc>
      </w:tr>
      <w:tr w:rsidR="008E4559" w:rsidTr="001B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80" w:type="dxa"/>
          <w:trHeight w:val="360"/>
        </w:trPr>
        <w:tc>
          <w:tcPr>
            <w:tcW w:w="7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4559" w:rsidRPr="00F3714C" w:rsidRDefault="008E4559" w:rsidP="00F3714C">
            <w:pPr>
              <w:jc w:val="center"/>
              <w:rPr>
                <w:bCs/>
              </w:rPr>
            </w:pPr>
          </w:p>
        </w:tc>
      </w:tr>
    </w:tbl>
    <w:p w:rsidR="00C7082B" w:rsidRDefault="00C7082B" w:rsidP="00F6632B">
      <w:pPr>
        <w:jc w:val="center"/>
        <w:rPr>
          <w:b/>
          <w:bCs/>
        </w:rPr>
      </w:pPr>
    </w:p>
    <w:p w:rsid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2</w:t>
      </w:r>
    </w:p>
    <w:p w:rsidR="00C7082B" w:rsidRPr="00F6632B" w:rsidRDefault="00C7082B" w:rsidP="00F6632B">
      <w:pPr>
        <w:jc w:val="center"/>
        <w:rPr>
          <w:b/>
          <w:bCs/>
        </w:rPr>
      </w:pPr>
    </w:p>
    <w:p w:rsidR="00F6632B" w:rsidRPr="00371EB2" w:rsidRDefault="00371EB2" w:rsidP="0075063B">
      <w:pPr>
        <w:pStyle w:val="Heading3"/>
        <w:rPr>
          <w:u w:val="none"/>
        </w:rPr>
      </w:pPr>
      <w:r>
        <w:rPr>
          <w:u w:val="none"/>
        </w:rPr>
        <w:t>Zona</w:t>
      </w:r>
      <w:r w:rsidR="00D8234A">
        <w:rPr>
          <w:u w:val="none"/>
        </w:rPr>
        <w:t>t</w:t>
      </w:r>
      <w:r w:rsidR="0075063B" w:rsidRPr="00371EB2">
        <w:rPr>
          <w:u w:val="none"/>
        </w:rPr>
        <w:t xml:space="preserve"> dhe </w:t>
      </w:r>
      <w:r w:rsidR="00C85A60">
        <w:rPr>
          <w:u w:val="none"/>
        </w:rPr>
        <w:t>n</w:t>
      </w:r>
      <w:r w:rsidR="000A7BBB" w:rsidRPr="00371EB2">
        <w:rPr>
          <w:u w:val="none"/>
        </w:rPr>
        <w:t>ën zonat</w:t>
      </w:r>
      <w:r>
        <w:rPr>
          <w:u w:val="none"/>
        </w:rPr>
        <w:t xml:space="preserve"> tatimore</w:t>
      </w:r>
      <w:r w:rsidR="00D34B14">
        <w:rPr>
          <w:u w:val="none"/>
        </w:rPr>
        <w:t xml:space="preserve"> për objekte komerciale dhe industriale </w:t>
      </w:r>
    </w:p>
    <w:p w:rsidR="0075063B" w:rsidRPr="00F6632B" w:rsidRDefault="0075063B" w:rsidP="0075063B">
      <w:pPr>
        <w:jc w:val="center"/>
        <w:rPr>
          <w:b/>
          <w:bCs/>
          <w:u w:val="single"/>
        </w:rPr>
      </w:pPr>
    </w:p>
    <w:p w:rsidR="00F6632B" w:rsidRPr="0075063B" w:rsidRDefault="000510AC" w:rsidP="0075063B">
      <w:pPr>
        <w:pStyle w:val="Heading4"/>
      </w:pPr>
      <w:r>
        <w:t>Zona</w:t>
      </w:r>
      <w:r w:rsidRPr="000510AC">
        <w:rPr>
          <w:rFonts w:eastAsia="SimSun"/>
          <w:bCs w:val="0"/>
        </w:rPr>
        <w:t xml:space="preserve"> e parë I - </w:t>
      </w:r>
      <w:r w:rsidR="00131563">
        <w:rPr>
          <w:rFonts w:eastAsia="SimSun"/>
          <w:b w:val="0"/>
          <w:bCs w:val="0"/>
        </w:rPr>
        <w:t xml:space="preserve"> përfshin rrugët:</w:t>
      </w:r>
      <w:r w:rsidRPr="000510AC">
        <w:rPr>
          <w:rFonts w:eastAsia="SimSun"/>
          <w:b w:val="0"/>
          <w:bCs w:val="0"/>
        </w:rPr>
        <w:t xml:space="preserve"> Abdulla</w:t>
      </w:r>
      <w:r w:rsidR="00A95A5F">
        <w:rPr>
          <w:rFonts w:eastAsia="SimSun"/>
          <w:b w:val="0"/>
          <w:bCs w:val="0"/>
        </w:rPr>
        <w:t>h Tahiri, Bulevardi Ibrahim Rugova</w:t>
      </w:r>
      <w:r w:rsidRPr="000510AC">
        <w:rPr>
          <w:rFonts w:eastAsia="SimSun"/>
          <w:b w:val="0"/>
          <w:bCs w:val="0"/>
        </w:rPr>
        <w:t>, Xhemajl Mustafa, Adem Jashari, Zija Shemsiu,15 Q</w:t>
      </w:r>
      <w:r w:rsidR="00193804">
        <w:rPr>
          <w:rFonts w:eastAsia="SimSun"/>
          <w:b w:val="0"/>
          <w:bCs w:val="0"/>
        </w:rPr>
        <w:t>ershori 99, Nëna Tereze</w:t>
      </w:r>
      <w:r w:rsidR="006611A0">
        <w:rPr>
          <w:rFonts w:eastAsia="SimSun"/>
          <w:b w:val="0"/>
          <w:bCs w:val="0"/>
        </w:rPr>
        <w:t>, Shat</w:t>
      </w:r>
      <w:r w:rsidRPr="000510AC">
        <w:rPr>
          <w:rFonts w:eastAsia="SimSun"/>
          <w:b w:val="0"/>
          <w:bCs w:val="0"/>
        </w:rPr>
        <w:t>ërvani, Gjinollve, Haki Myderizi</w:t>
      </w:r>
      <w:r w:rsidR="00193804">
        <w:rPr>
          <w:rFonts w:eastAsia="SimSun"/>
          <w:b w:val="0"/>
          <w:bCs w:val="0"/>
        </w:rPr>
        <w:t xml:space="preserve"> prej </w:t>
      </w:r>
      <w:r w:rsidR="002F1B03">
        <w:rPr>
          <w:rFonts w:eastAsia="SimSun"/>
          <w:b w:val="0"/>
          <w:bCs w:val="0"/>
        </w:rPr>
        <w:t>(</w:t>
      </w:r>
      <w:r w:rsidR="00193804">
        <w:rPr>
          <w:rFonts w:eastAsia="SimSun"/>
          <w:b w:val="0"/>
          <w:bCs w:val="0"/>
        </w:rPr>
        <w:t>rr.Balzaku deri te rruga 15 Qershori 99</w:t>
      </w:r>
      <w:r w:rsidR="002F1B03">
        <w:rPr>
          <w:rFonts w:eastAsia="SimSun"/>
          <w:b w:val="0"/>
          <w:bCs w:val="0"/>
        </w:rPr>
        <w:t>)</w:t>
      </w:r>
      <w:r w:rsidR="00193804">
        <w:rPr>
          <w:rFonts w:eastAsia="SimSun"/>
          <w:b w:val="0"/>
          <w:bCs w:val="0"/>
        </w:rPr>
        <w:t>,Balzaku</w:t>
      </w:r>
      <w:r w:rsidRPr="000510AC">
        <w:rPr>
          <w:rFonts w:eastAsia="SimSun"/>
          <w:b w:val="0"/>
          <w:bCs w:val="0"/>
        </w:rPr>
        <w:t>, Esat Berisha prej rr.</w:t>
      </w:r>
      <w:r w:rsidR="006611A0">
        <w:rPr>
          <w:rFonts w:eastAsia="SimSun"/>
          <w:b w:val="0"/>
          <w:bCs w:val="0"/>
        </w:rPr>
        <w:t>Bulevardit Ibrahim Rugova</w:t>
      </w:r>
      <w:r w:rsidRPr="000510AC">
        <w:rPr>
          <w:rFonts w:eastAsia="SimSun"/>
          <w:b w:val="0"/>
          <w:bCs w:val="0"/>
        </w:rPr>
        <w:t xml:space="preserve"> deri te</w:t>
      </w:r>
      <w:r w:rsidR="006611A0">
        <w:rPr>
          <w:rFonts w:eastAsia="SimSun"/>
          <w:b w:val="0"/>
          <w:bCs w:val="0"/>
        </w:rPr>
        <w:t xml:space="preserve"> Xhamija (</w:t>
      </w:r>
      <w:r w:rsidRPr="000510AC">
        <w:rPr>
          <w:rFonts w:eastAsia="SimSun"/>
          <w:b w:val="0"/>
          <w:bCs w:val="0"/>
        </w:rPr>
        <w:t xml:space="preserve"> rr</w:t>
      </w:r>
      <w:r w:rsidR="006611A0">
        <w:rPr>
          <w:rFonts w:eastAsia="SimSun"/>
          <w:b w:val="0"/>
          <w:bCs w:val="0"/>
        </w:rPr>
        <w:t xml:space="preserve">.Makfire Deda), </w:t>
      </w:r>
      <w:r w:rsidRPr="000510AC">
        <w:rPr>
          <w:rFonts w:eastAsia="SimSun"/>
          <w:b w:val="0"/>
          <w:bCs w:val="0"/>
        </w:rPr>
        <w:t>dhe Mehmet Akif  Ersoj</w:t>
      </w:r>
    </w:p>
    <w:p w:rsidR="0075063B" w:rsidRDefault="0075063B" w:rsidP="0075063B">
      <w:pPr>
        <w:jc w:val="both"/>
        <w:rPr>
          <w:bCs/>
        </w:rPr>
      </w:pPr>
    </w:p>
    <w:p w:rsidR="0075063B" w:rsidRPr="000510AC" w:rsidRDefault="000A7BBB" w:rsidP="0075063B">
      <w:pPr>
        <w:pStyle w:val="Heading5"/>
      </w:pPr>
      <w:r w:rsidRPr="000510AC">
        <w:t>Nën zona</w:t>
      </w:r>
      <w:r w:rsidR="0075063B" w:rsidRPr="000510AC">
        <w:t xml:space="preserve"> </w:t>
      </w:r>
      <w:r w:rsidR="000510AC" w:rsidRPr="000510AC">
        <w:t>I</w:t>
      </w:r>
      <w:r w:rsidR="00C85A60">
        <w:t>-</w:t>
      </w:r>
      <w:r w:rsidR="000510AC" w:rsidRPr="000510AC">
        <w:t>a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0510AC" w:rsidRPr="000510AC" w:rsidRDefault="000510AC" w:rsidP="000510AC">
      <w:pPr>
        <w:jc w:val="both"/>
        <w:rPr>
          <w:rFonts w:eastAsia="SimSun"/>
        </w:rPr>
      </w:pPr>
      <w:r w:rsidRPr="000510AC">
        <w:rPr>
          <w:rFonts w:eastAsia="SimSun"/>
          <w:b/>
        </w:rPr>
        <w:t xml:space="preserve"> </w:t>
      </w:r>
      <w:r w:rsidRPr="000510AC">
        <w:rPr>
          <w:rFonts w:eastAsia="SimSun"/>
        </w:rPr>
        <w:t>Idriz Sef</w:t>
      </w:r>
      <w:r w:rsidR="00193804">
        <w:rPr>
          <w:rFonts w:eastAsia="SimSun"/>
        </w:rPr>
        <w:t>eri</w:t>
      </w:r>
      <w:r w:rsidRPr="000510AC">
        <w:rPr>
          <w:rFonts w:eastAsia="SimSun"/>
        </w:rPr>
        <w:t xml:space="preserve">, Isa Boletini, </w:t>
      </w:r>
      <w:r w:rsidR="00193804">
        <w:rPr>
          <w:rFonts w:eastAsia="SimSun"/>
        </w:rPr>
        <w:t>Raif Halimi</w:t>
      </w:r>
      <w:r w:rsidRPr="000510AC">
        <w:rPr>
          <w:rFonts w:eastAsia="SimSun"/>
        </w:rPr>
        <w:t xml:space="preserve">, Metush Krasniqi, Nato 99, 28 Nëntori, Ramiz Cernica , </w:t>
      </w:r>
      <w:r w:rsidR="00193804">
        <w:rPr>
          <w:rFonts w:eastAsia="SimSun"/>
        </w:rPr>
        <w:t>Medllin Ollbrajt</w:t>
      </w:r>
      <w:r w:rsidRPr="000510AC">
        <w:rPr>
          <w:rFonts w:eastAsia="SimSun"/>
        </w:rPr>
        <w:t>, Avdullah Presheva deri te rr.V.Frashëri, Sadullah Brestovci deri te udhëkryqi rr.R. Dajkovci, Haqif Tetova ,Esat Berisha nga xhamia deri</w:t>
      </w:r>
      <w:r w:rsidR="003C01C5">
        <w:rPr>
          <w:rFonts w:eastAsia="SimSun"/>
        </w:rPr>
        <w:t xml:space="preserve"> te rrethi në</w:t>
      </w:r>
      <w:r w:rsidRPr="000510AC">
        <w:rPr>
          <w:rFonts w:eastAsia="SimSun"/>
        </w:rPr>
        <w:t xml:space="preserve"> lagjen Iliria,   </w:t>
      </w:r>
      <w:r w:rsidR="00193804">
        <w:rPr>
          <w:rFonts w:eastAsia="SimSun"/>
        </w:rPr>
        <w:t>Lufta e Gjilanit 44</w:t>
      </w:r>
      <w:r w:rsidRPr="000510AC">
        <w:rPr>
          <w:rFonts w:eastAsia="SimSun"/>
        </w:rPr>
        <w:t xml:space="preserve">  deri te udhëkryqi i r</w:t>
      </w:r>
      <w:r w:rsidR="00020CAA">
        <w:rPr>
          <w:rFonts w:eastAsia="SimSun"/>
        </w:rPr>
        <w:t>rugës për Fsh.</w:t>
      </w:r>
      <w:r w:rsidR="002F1B03">
        <w:rPr>
          <w:rFonts w:eastAsia="SimSun"/>
        </w:rPr>
        <w:t xml:space="preserve"> Shillovë,</w:t>
      </w:r>
      <w:r w:rsidRPr="000510AC">
        <w:rPr>
          <w:rFonts w:eastAsia="SimSun"/>
          <w:b/>
        </w:rPr>
        <w:t xml:space="preserve"> </w:t>
      </w:r>
      <w:r w:rsidR="002F1B03">
        <w:rPr>
          <w:rFonts w:eastAsia="SimSun"/>
        </w:rPr>
        <w:t>Ahmet Malisheva,</w:t>
      </w:r>
      <w:r w:rsidR="00C85A60">
        <w:rPr>
          <w:rFonts w:eastAsia="SimSun"/>
        </w:rPr>
        <w:t xml:space="preserve"> Manastiri, Kosova.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Pr="0075063B" w:rsidRDefault="005E4F46" w:rsidP="0075063B">
      <w:pPr>
        <w:pStyle w:val="Heading4"/>
      </w:pPr>
      <w:r>
        <w:t>Nën zona I</w:t>
      </w:r>
      <w:r w:rsidR="00C85A60">
        <w:t>-</w:t>
      </w:r>
      <w:r>
        <w:t>b</w:t>
      </w:r>
    </w:p>
    <w:p w:rsidR="0075063B" w:rsidRDefault="0075063B" w:rsidP="0075063B">
      <w:pPr>
        <w:jc w:val="both"/>
        <w:rPr>
          <w:bCs/>
        </w:rPr>
      </w:pPr>
    </w:p>
    <w:p w:rsidR="005E4F46" w:rsidRPr="00E70835" w:rsidRDefault="009676A2" w:rsidP="0075063B">
      <w:pPr>
        <w:jc w:val="both"/>
        <w:rPr>
          <w:bCs/>
          <w:color w:val="000000"/>
        </w:rPr>
      </w:pPr>
      <w:r>
        <w:rPr>
          <w:rFonts w:eastAsia="SimSun"/>
        </w:rPr>
        <w:t>Beqir Musliu, Muharrem Ibrahimi</w:t>
      </w:r>
      <w:r w:rsidR="005E4F46" w:rsidRPr="005E4F46">
        <w:rPr>
          <w:rFonts w:eastAsia="SimSun"/>
        </w:rPr>
        <w:t xml:space="preserve">, Enver Miftari, Lidhja e Prizrenit, Pajazit Ahmeti (nga </w:t>
      </w:r>
      <w:r w:rsidR="0080466B">
        <w:rPr>
          <w:rFonts w:eastAsia="SimSun"/>
        </w:rPr>
        <w:t>rreth</w:t>
      </w:r>
      <w:r w:rsidR="006445B8">
        <w:rPr>
          <w:rFonts w:eastAsia="SimSun"/>
        </w:rPr>
        <w:t>ë</w:t>
      </w:r>
      <w:r w:rsidR="0080466B">
        <w:rPr>
          <w:rFonts w:eastAsia="SimSun"/>
        </w:rPr>
        <w:t>rrotullimi</w:t>
      </w:r>
      <w:r w:rsidR="005E4F46" w:rsidRPr="005E4F46">
        <w:rPr>
          <w:rFonts w:eastAsia="SimSun"/>
        </w:rPr>
        <w:t xml:space="preserve"> rruga </w:t>
      </w:r>
      <w:r w:rsidR="0080466B">
        <w:rPr>
          <w:rFonts w:eastAsia="SimSun"/>
        </w:rPr>
        <w:t>Nëna Tereze</w:t>
      </w:r>
      <w:r w:rsidR="005E4F46" w:rsidRPr="005E4F46">
        <w:rPr>
          <w:rFonts w:eastAsia="SimSun"/>
        </w:rPr>
        <w:t xml:space="preserve"> deri te vetëshërbi</w:t>
      </w:r>
      <w:r w:rsidR="00E70835">
        <w:rPr>
          <w:rFonts w:eastAsia="SimSun"/>
        </w:rPr>
        <w:t>mi “Pireva”, Mulla Idrizi(deri te rruga Mërgimtarët e Gjilanit)</w:t>
      </w:r>
      <w:r w:rsidR="005E4F46" w:rsidRPr="005E4F46">
        <w:rPr>
          <w:rFonts w:eastAsia="SimSun"/>
        </w:rPr>
        <w:t>, Hamd</w:t>
      </w:r>
      <w:r w:rsidR="00E70835">
        <w:rPr>
          <w:rFonts w:eastAsia="SimSun"/>
        </w:rPr>
        <w:t>i Kurteshi (deri te rruga Mërgimtarët e Gjilanit)</w:t>
      </w:r>
      <w:r w:rsidR="005E4F46" w:rsidRPr="005E4F46">
        <w:rPr>
          <w:rFonts w:eastAsia="SimSun"/>
        </w:rPr>
        <w:t>,</w:t>
      </w:r>
      <w:r>
        <w:rPr>
          <w:rFonts w:eastAsia="SimSun"/>
        </w:rPr>
        <w:t>Mërgimtarët e Gjilanit, Fehmi Agani</w:t>
      </w:r>
      <w:r w:rsidR="00E70835">
        <w:rPr>
          <w:rFonts w:eastAsia="SimSun"/>
        </w:rPr>
        <w:t>, Skenderbeu,</w:t>
      </w:r>
      <w:r w:rsidR="005E4F46" w:rsidRPr="005E4F46">
        <w:rPr>
          <w:rFonts w:eastAsia="SimSun"/>
        </w:rPr>
        <w:t xml:space="preserve"> Haki Myderizi</w:t>
      </w:r>
      <w:r w:rsidR="003C01C5" w:rsidRPr="003C01C5">
        <w:rPr>
          <w:bCs/>
          <w:color w:val="000000"/>
        </w:rPr>
        <w:t xml:space="preserve"> </w:t>
      </w:r>
      <w:r w:rsidR="003C01C5">
        <w:rPr>
          <w:bCs/>
          <w:color w:val="000000"/>
        </w:rPr>
        <w:t>deri te rruga e 9</w:t>
      </w:r>
      <w:r w:rsidR="005E4F46" w:rsidRPr="005E4F46">
        <w:rPr>
          <w:rFonts w:eastAsia="SimSun"/>
        </w:rPr>
        <w:t xml:space="preserve">,  Halim </w:t>
      </w:r>
      <w:r w:rsidR="005E4F46" w:rsidRPr="00291DA7">
        <w:rPr>
          <w:rFonts w:eastAsia="SimSun"/>
        </w:rPr>
        <w:t>Orana</w:t>
      </w:r>
      <w:r w:rsidR="005E4F46" w:rsidRPr="00E70835">
        <w:rPr>
          <w:rFonts w:eastAsia="SimSun"/>
        </w:rPr>
        <w:t>,</w:t>
      </w:r>
      <w:r w:rsidR="00E70835" w:rsidRPr="00E70835">
        <w:rPr>
          <w:bCs/>
          <w:color w:val="000000"/>
        </w:rPr>
        <w:t xml:space="preserve"> Beqir Musliu</w:t>
      </w:r>
      <w:r w:rsidR="003C01C5">
        <w:rPr>
          <w:bCs/>
          <w:color w:val="000000"/>
        </w:rPr>
        <w:t xml:space="preserve"> deri te rruga e 9</w:t>
      </w:r>
      <w:r w:rsidR="00E70835" w:rsidRPr="00E70835">
        <w:rPr>
          <w:bCs/>
          <w:color w:val="000000"/>
        </w:rPr>
        <w:t>, Muharrem Ibrahim</w:t>
      </w:r>
      <w:r w:rsidR="003C01C5">
        <w:rPr>
          <w:bCs/>
          <w:color w:val="000000"/>
        </w:rPr>
        <w:t>i</w:t>
      </w:r>
      <w:r w:rsidR="003C01C5" w:rsidRPr="003C01C5">
        <w:rPr>
          <w:bCs/>
          <w:color w:val="000000"/>
        </w:rPr>
        <w:t xml:space="preserve"> </w:t>
      </w:r>
      <w:r w:rsidR="003C01C5">
        <w:rPr>
          <w:bCs/>
          <w:color w:val="000000"/>
        </w:rPr>
        <w:t>deri te rruga e 9</w:t>
      </w:r>
      <w:r w:rsidR="00B215F4">
        <w:rPr>
          <w:bCs/>
          <w:color w:val="000000"/>
        </w:rPr>
        <w:t xml:space="preserve">, </w:t>
      </w:r>
      <w:r w:rsidR="003D1D54">
        <w:rPr>
          <w:bCs/>
          <w:color w:val="000000"/>
        </w:rPr>
        <w:t xml:space="preserve">Lufta e Gjilanit 44 deri te </w:t>
      </w:r>
      <w:r w:rsidR="006445B8">
        <w:rPr>
          <w:bCs/>
          <w:color w:val="000000"/>
        </w:rPr>
        <w:t>r</w:t>
      </w:r>
      <w:r w:rsidR="003D1D54">
        <w:rPr>
          <w:bCs/>
          <w:color w:val="000000"/>
        </w:rPr>
        <w:t>ruga për Shillovë,</w:t>
      </w:r>
    </w:p>
    <w:p w:rsidR="00E70835" w:rsidRDefault="00E70835" w:rsidP="00E70835">
      <w:pPr>
        <w:pStyle w:val="Heading5"/>
      </w:pPr>
    </w:p>
    <w:p w:rsidR="00E70835" w:rsidRPr="00E70835" w:rsidRDefault="005E4F46" w:rsidP="00E70835">
      <w:pPr>
        <w:pStyle w:val="Heading5"/>
      </w:pPr>
      <w:r w:rsidRPr="005E4F46">
        <w:t>Zona e Dytë II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Default="005E4F46" w:rsidP="0075063B">
      <w:pPr>
        <w:jc w:val="both"/>
        <w:rPr>
          <w:bCs/>
          <w:color w:val="000000"/>
        </w:rPr>
      </w:pPr>
      <w:r>
        <w:t xml:space="preserve"> Rruga - </w:t>
      </w:r>
      <w:r w:rsidRPr="009D3A01">
        <w:t>V</w:t>
      </w:r>
      <w:r>
        <w:t>ë</w:t>
      </w:r>
      <w:r w:rsidRPr="009D3A01">
        <w:t>llez</w:t>
      </w:r>
      <w:r>
        <w:t>ërit Frashë</w:t>
      </w:r>
      <w:r w:rsidRPr="009D3A01">
        <w:t>ri,</w:t>
      </w:r>
      <w:r>
        <w:t xml:space="preserve"> </w:t>
      </w:r>
      <w:r w:rsidRPr="009D3A01">
        <w:t>Agim Rashiti,</w:t>
      </w:r>
      <w:r>
        <w:t xml:space="preserve"> </w:t>
      </w:r>
      <w:r w:rsidRPr="009D3A01">
        <w:t>Isa Kastrati,</w:t>
      </w:r>
      <w:r>
        <w:t xml:space="preserve"> </w:t>
      </w:r>
      <w:r w:rsidRPr="009D3A01">
        <w:t>Gjon Buzuku,</w:t>
      </w:r>
      <w:r>
        <w:t xml:space="preserve"> Lekë Dukagjini,    Limon Staneci,Vëllezërit Hyseni, Fadil Jakupi,Bajram Llovca </w:t>
      </w:r>
      <w:r w:rsidRPr="009D3A01">
        <w:t>etj.</w:t>
      </w:r>
    </w:p>
    <w:p w:rsidR="00291DA7" w:rsidRDefault="00291DA7" w:rsidP="0075063B">
      <w:pPr>
        <w:pStyle w:val="Heading4"/>
      </w:pPr>
    </w:p>
    <w:p w:rsidR="0075063B" w:rsidRPr="0075063B" w:rsidRDefault="0075063B" w:rsidP="0075063B">
      <w:pPr>
        <w:pStyle w:val="Heading4"/>
      </w:pPr>
      <w:r w:rsidRPr="0075063B">
        <w:t xml:space="preserve">Zona </w:t>
      </w:r>
      <w:r w:rsidR="005E4F46">
        <w:t>III</w:t>
      </w:r>
    </w:p>
    <w:p w:rsidR="0075063B" w:rsidRDefault="0075063B" w:rsidP="0075063B">
      <w:pPr>
        <w:jc w:val="both"/>
        <w:rPr>
          <w:bCs/>
        </w:rPr>
      </w:pPr>
    </w:p>
    <w:p w:rsidR="005E4F46" w:rsidRDefault="005E4F46" w:rsidP="0075063B">
      <w:pPr>
        <w:jc w:val="both"/>
        <w:rPr>
          <w:rFonts w:eastAsia="MS Mincho"/>
          <w:sz w:val="22"/>
          <w:szCs w:val="22"/>
        </w:rPr>
      </w:pPr>
      <w:r w:rsidRPr="005E4F46">
        <w:rPr>
          <w:rFonts w:eastAsia="MS Mincho"/>
        </w:rPr>
        <w:t>Përfshin te gjitha objektet te cilat nuk kane emërtime te rrugëve të sakta  dhe objektet te cilat kufizohen me fshatrat për rreth</w:t>
      </w:r>
      <w:r w:rsidRPr="005E4F46">
        <w:rPr>
          <w:rFonts w:eastAsia="MS Mincho"/>
          <w:sz w:val="22"/>
          <w:szCs w:val="22"/>
        </w:rPr>
        <w:t xml:space="preserve">. </w:t>
      </w:r>
    </w:p>
    <w:p w:rsidR="00450B92" w:rsidRDefault="005E4F46" w:rsidP="00D4553F">
      <w:pPr>
        <w:jc w:val="both"/>
        <w:rPr>
          <w:rFonts w:eastAsia="MS Mincho"/>
          <w:sz w:val="20"/>
          <w:szCs w:val="20"/>
        </w:rPr>
      </w:pPr>
      <w:r w:rsidRPr="005E4F46">
        <w:rPr>
          <w:rFonts w:eastAsia="MS Mincho"/>
          <w:sz w:val="20"/>
          <w:szCs w:val="20"/>
        </w:rPr>
        <w:t xml:space="preserve"> </w:t>
      </w:r>
    </w:p>
    <w:p w:rsidR="00D4553F" w:rsidRDefault="00D4553F" w:rsidP="00D4553F">
      <w:pPr>
        <w:jc w:val="both"/>
        <w:rPr>
          <w:rFonts w:eastAsia="MS Mincho"/>
          <w:sz w:val="20"/>
          <w:szCs w:val="20"/>
        </w:rPr>
      </w:pPr>
    </w:p>
    <w:p w:rsidR="00D4553F" w:rsidRDefault="00D4553F" w:rsidP="00D4553F">
      <w:pPr>
        <w:jc w:val="both"/>
        <w:rPr>
          <w:rFonts w:eastAsia="MS Mincho"/>
          <w:sz w:val="20"/>
          <w:szCs w:val="20"/>
        </w:rPr>
      </w:pPr>
    </w:p>
    <w:p w:rsidR="00D4553F" w:rsidRDefault="00D4553F" w:rsidP="00D4553F">
      <w:pPr>
        <w:jc w:val="both"/>
      </w:pPr>
    </w:p>
    <w:p w:rsidR="00450B92" w:rsidRPr="00450B92" w:rsidRDefault="005E4F46" w:rsidP="00450B92">
      <w:pPr>
        <w:pStyle w:val="Heading5"/>
      </w:pPr>
      <w:r w:rsidRPr="005E4F46">
        <w:t>Z</w:t>
      </w:r>
      <w:r w:rsidR="000A7BBB" w:rsidRPr="005E4F46">
        <w:t>ona</w:t>
      </w:r>
      <w:r w:rsidR="0075063B" w:rsidRPr="005E4F46">
        <w:t xml:space="preserve"> </w:t>
      </w:r>
      <w:r w:rsidRPr="005E4F46">
        <w:t>IV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Default="005E4F46" w:rsidP="0075063B">
      <w:pPr>
        <w:jc w:val="both"/>
      </w:pPr>
      <w:r w:rsidRPr="0094704C">
        <w:rPr>
          <w:b/>
        </w:rPr>
        <w:t xml:space="preserve"> </w:t>
      </w:r>
      <w:r w:rsidRPr="005E4F46">
        <w:rPr>
          <w:rFonts w:asciiTheme="minorHAnsi" w:hAnsiTheme="minorHAnsi"/>
          <w:b/>
        </w:rPr>
        <w:t>Përfshin këto fshatra</w:t>
      </w:r>
      <w:r>
        <w:t>; Malishevë, Uglar, Pogragjë Kmetovc, Dobërçan, Petrit, Përlepnicë, Bresalc</w:t>
      </w:r>
      <w:r w:rsidRPr="0094704C">
        <w:t>,</w:t>
      </w:r>
      <w:r>
        <w:t xml:space="preserve"> Livoç</w:t>
      </w:r>
      <w:r w:rsidRPr="0094704C">
        <w:t>i i Ulët,</w:t>
      </w:r>
      <w:r>
        <w:t xml:space="preserve"> Livoçi i Epë</w:t>
      </w:r>
      <w:r w:rsidRPr="0094704C">
        <w:t>rm,</w:t>
      </w:r>
      <w:r>
        <w:t xml:space="preserve"> Cë</w:t>
      </w:r>
      <w:r w:rsidRPr="0094704C">
        <w:t>rnicë, Lladovë,</w:t>
      </w:r>
      <w:r>
        <w:t xml:space="preserve"> </w:t>
      </w:r>
      <w:r w:rsidRPr="0094704C">
        <w:t>Zhegër,</w:t>
      </w:r>
      <w:r>
        <w:t xml:space="preserve"> </w:t>
      </w:r>
      <w:r w:rsidRPr="0094704C">
        <w:t>LLashticë, Haxhaj,</w:t>
      </w:r>
      <w:r>
        <w:t xml:space="preserve"> </w:t>
      </w:r>
      <w:r w:rsidRPr="0094704C">
        <w:t>Nasalë,</w:t>
      </w:r>
      <w:r>
        <w:t xml:space="preserve"> </w:t>
      </w:r>
      <w:r w:rsidRPr="0094704C">
        <w:t>Ponesh,</w:t>
      </w:r>
      <w:r>
        <w:t xml:space="preserve"> D</w:t>
      </w:r>
      <w:r w:rsidRPr="0094704C">
        <w:t>emiraj,</w:t>
      </w:r>
      <w:r>
        <w:t xml:space="preserve"> Ve</w:t>
      </w:r>
      <w:r w:rsidRPr="0094704C">
        <w:t>lekincë,</w:t>
      </w:r>
      <w:r>
        <w:t xml:space="preserve"> </w:t>
      </w:r>
      <w:r w:rsidRPr="0094704C">
        <w:t>Shillovë</w:t>
      </w:r>
    </w:p>
    <w:p w:rsidR="00C24D6E" w:rsidRDefault="00C24D6E" w:rsidP="0075063B">
      <w:pPr>
        <w:jc w:val="both"/>
      </w:pPr>
    </w:p>
    <w:p w:rsidR="0075063B" w:rsidRPr="0075063B" w:rsidRDefault="005E4F46" w:rsidP="0075063B">
      <w:pPr>
        <w:pStyle w:val="Heading4"/>
      </w:pPr>
      <w:r>
        <w:t>Zona V</w:t>
      </w:r>
    </w:p>
    <w:p w:rsidR="0075063B" w:rsidRDefault="0075063B" w:rsidP="0075063B">
      <w:pPr>
        <w:jc w:val="both"/>
        <w:rPr>
          <w:bCs/>
        </w:rPr>
      </w:pPr>
    </w:p>
    <w:p w:rsidR="005E4F46" w:rsidRDefault="005E4F46" w:rsidP="00C24D6E">
      <w:pPr>
        <w:ind w:left="360"/>
        <w:jc w:val="both"/>
      </w:pPr>
      <w:r w:rsidRPr="005E4F46">
        <w:rPr>
          <w:rFonts w:asciiTheme="minorHAnsi" w:hAnsiTheme="minorHAnsi"/>
          <w:b/>
        </w:rPr>
        <w:t>Përfshin këto fshatra</w:t>
      </w:r>
      <w:r>
        <w:t>; B</w:t>
      </w:r>
      <w:r w:rsidRPr="0094704C">
        <w:t>ilinicë,</w:t>
      </w:r>
      <w:r>
        <w:t xml:space="preserve"> B</w:t>
      </w:r>
      <w:r w:rsidRPr="0094704C">
        <w:t>ukovik,</w:t>
      </w:r>
      <w:r>
        <w:t xml:space="preserve"> C</w:t>
      </w:r>
      <w:r w:rsidRPr="0094704C">
        <w:t>apar,</w:t>
      </w:r>
      <w:r>
        <w:t xml:space="preserve"> B</w:t>
      </w:r>
      <w:r w:rsidRPr="0094704C">
        <w:t>urincë,</w:t>
      </w:r>
      <w:r>
        <w:t xml:space="preserve"> </w:t>
      </w:r>
      <w:r w:rsidRPr="0094704C">
        <w:t>Çelik,</w:t>
      </w:r>
      <w:r>
        <w:t xml:space="preserve"> </w:t>
      </w:r>
      <w:r w:rsidRPr="0094704C">
        <w:t>Dunav,</w:t>
      </w:r>
      <w:r>
        <w:t xml:space="preserve"> </w:t>
      </w:r>
      <w:r w:rsidRPr="0094704C">
        <w:t>Gadish, Goden i vogel,</w:t>
      </w:r>
      <w:r>
        <w:t xml:space="preserve"> </w:t>
      </w:r>
      <w:r w:rsidRPr="0094704C">
        <w:t>Inatovc,</w:t>
      </w:r>
      <w:r>
        <w:t xml:space="preserve"> Kishna</w:t>
      </w:r>
      <w:r w:rsidRPr="0094704C">
        <w:t>pole,</w:t>
      </w:r>
      <w:r>
        <w:t xml:space="preserve"> </w:t>
      </w:r>
      <w:r w:rsidRPr="0094704C">
        <w:t>Kravaricë,</w:t>
      </w:r>
      <w:r>
        <w:t xml:space="preserve"> </w:t>
      </w:r>
      <w:r w:rsidRPr="0094704C">
        <w:t>Lipovicë,</w:t>
      </w:r>
      <w:r>
        <w:t xml:space="preserve"> LLovcë, Malishevë e E</w:t>
      </w:r>
      <w:r w:rsidRPr="0094704C">
        <w:t>përme,</w:t>
      </w:r>
      <w:r>
        <w:t xml:space="preserve"> </w:t>
      </w:r>
      <w:r w:rsidRPr="0094704C">
        <w:t>Muqibabë,</w:t>
      </w:r>
      <w:r>
        <w:t xml:space="preserve"> </w:t>
      </w:r>
      <w:r w:rsidRPr="0094704C">
        <w:t>Pidiq,</w:t>
      </w:r>
      <w:r>
        <w:t xml:space="preserve"> </w:t>
      </w:r>
      <w:r w:rsidRPr="0094704C">
        <w:t xml:space="preserve">Shurdhan, Sllakovc i </w:t>
      </w:r>
      <w:r>
        <w:t>P</w:t>
      </w:r>
      <w:r w:rsidRPr="0094704C">
        <w:t>oshtëm,</w:t>
      </w:r>
      <w:r>
        <w:t xml:space="preserve"> </w:t>
      </w:r>
      <w:r w:rsidRPr="0094704C">
        <w:t xml:space="preserve">Sllakovc i </w:t>
      </w:r>
      <w:r>
        <w:t>E</w:t>
      </w:r>
      <w:r w:rsidRPr="0094704C">
        <w:t>p</w:t>
      </w:r>
      <w:r>
        <w:t>ë</w:t>
      </w:r>
      <w:r w:rsidRPr="0094704C">
        <w:t xml:space="preserve">rm </w:t>
      </w:r>
      <w:r w:rsidR="00C85A60">
        <w:t>,Stanç</w:t>
      </w:r>
      <w:r w:rsidRPr="0094704C">
        <w:t>iq,</w:t>
      </w:r>
      <w:r>
        <w:t xml:space="preserve"> </w:t>
      </w:r>
      <w:r w:rsidRPr="0094704C">
        <w:t>Stublinë,</w:t>
      </w:r>
      <w:r w:rsidR="00C85A60">
        <w:t xml:space="preserve"> Vë</w:t>
      </w:r>
      <w:r>
        <w:t>rbicë e Kmeto</w:t>
      </w:r>
      <w:r w:rsidRPr="0094704C">
        <w:t>cit,</w:t>
      </w:r>
      <w:r>
        <w:t xml:space="preserve"> </w:t>
      </w:r>
      <w:r w:rsidR="00C85A60">
        <w:t>Vë</w:t>
      </w:r>
      <w:r w:rsidRPr="0094704C">
        <w:t>rbicë e Zhegocit,</w:t>
      </w:r>
      <w:r>
        <w:t xml:space="preserve"> Zhego</w:t>
      </w:r>
      <w:r w:rsidRPr="0094704C">
        <w:t>c,</w:t>
      </w:r>
      <w:r>
        <w:t xml:space="preserve"> </w:t>
      </w:r>
      <w:r w:rsidR="00C85A60">
        <w:t>Vrapç</w:t>
      </w:r>
      <w:r w:rsidRPr="0094704C">
        <w:t>iq,</w:t>
      </w:r>
      <w:r>
        <w:t xml:space="preserve"> </w:t>
      </w:r>
      <w:r w:rsidRPr="0094704C">
        <w:t>Kureq,</w:t>
      </w:r>
      <w:r>
        <w:t xml:space="preserve"> </w:t>
      </w:r>
      <w:r w:rsidRPr="0094704C">
        <w:t>Terziaj,</w:t>
      </w:r>
      <w:r w:rsidRPr="00212282">
        <w:t xml:space="preserve"> </w:t>
      </w:r>
      <w:r w:rsidRPr="0094704C">
        <w:t>Selishtë,</w:t>
      </w:r>
      <w:r>
        <w:t xml:space="preserve"> </w:t>
      </w:r>
      <w:r w:rsidRPr="0094704C">
        <w:t>Sllubicë</w:t>
      </w:r>
    </w:p>
    <w:p w:rsidR="0075063B" w:rsidRDefault="0075063B" w:rsidP="0075063B">
      <w:pPr>
        <w:jc w:val="both"/>
        <w:rPr>
          <w:b/>
          <w:bCs/>
          <w:color w:val="000000"/>
          <w:u w:val="single"/>
        </w:rPr>
      </w:pPr>
    </w:p>
    <w:p w:rsidR="00F6632B" w:rsidRP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3</w:t>
      </w:r>
    </w:p>
    <w:p w:rsidR="0075063B" w:rsidRDefault="0075063B" w:rsidP="0075063B">
      <w:pPr>
        <w:jc w:val="center"/>
        <w:rPr>
          <w:b/>
          <w:bCs/>
        </w:rPr>
      </w:pPr>
      <w:r>
        <w:rPr>
          <w:b/>
          <w:bCs/>
        </w:rPr>
        <w:t>Normat Tatimore</w:t>
      </w:r>
    </w:p>
    <w:p w:rsidR="0075063B" w:rsidRDefault="0075063B" w:rsidP="0075063B">
      <w:pPr>
        <w:jc w:val="center"/>
        <w:rPr>
          <w:b/>
          <w:bCs/>
        </w:rPr>
      </w:pPr>
    </w:p>
    <w:p w:rsidR="000A7BBB" w:rsidRDefault="00B32F7D" w:rsidP="0075063B">
      <w:pPr>
        <w:jc w:val="both"/>
        <w:rPr>
          <w:bCs/>
          <w:iCs/>
          <w:noProof/>
          <w:lang w:val="hr-HR" w:eastAsia="en-GB"/>
        </w:rPr>
      </w:pPr>
      <w:r>
        <w:t>N</w:t>
      </w:r>
      <w:r w:rsidR="00F6632B" w:rsidRPr="00F6632B">
        <w:t>ë</w:t>
      </w:r>
      <w:r>
        <w:t xml:space="preserve"> zbatim të</w:t>
      </w:r>
      <w:r w:rsidR="00F6632B" w:rsidRPr="00F6632B">
        <w:t xml:space="preserve"> </w:t>
      </w:r>
      <w:r>
        <w:t>Ligjit</w:t>
      </w:r>
      <w:r w:rsidR="000A7BBB" w:rsidRPr="00F6632B">
        <w:t xml:space="preserve"> Nr.</w:t>
      </w:r>
      <w:r>
        <w:t xml:space="preserve"> </w:t>
      </w:r>
      <w:r w:rsidR="000A7BBB" w:rsidRPr="00F6632B">
        <w:t>06/L-005, për Tatimin në Pronën e Paluajtshme</w:t>
      </w:r>
      <w:r w:rsidR="000A7BBB">
        <w:t xml:space="preserve">, </w:t>
      </w:r>
      <w:r>
        <w:t>neni</w:t>
      </w:r>
      <w:r w:rsidR="000A7BBB">
        <w:t xml:space="preserve"> </w:t>
      </w:r>
      <w:r w:rsidR="00F6632B" w:rsidRPr="00F6632B">
        <w:t>9</w:t>
      </w:r>
      <w:r w:rsidR="0075063B">
        <w:t>, paragrafi 1</w:t>
      </w:r>
      <w:r w:rsidR="000A7BBB">
        <w:t>, nën paragrafët 1.1 deri 1.9</w:t>
      </w:r>
      <w:r w:rsidR="00A7535C">
        <w:t>,</w:t>
      </w:r>
      <w:r w:rsidR="00A7535C" w:rsidRPr="003952E2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Kuvendi Komunal i </w:t>
      </w:r>
      <w:r w:rsidR="000A7BBB">
        <w:rPr>
          <w:bCs/>
          <w:iCs/>
          <w:noProof/>
          <w:lang w:val="hr-HR" w:eastAsia="en-GB"/>
        </w:rPr>
        <w:t>Komun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>s</w:t>
      </w:r>
      <w:r w:rsidR="0075063B" w:rsidRPr="003952E2">
        <w:rPr>
          <w:bCs/>
          <w:iCs/>
          <w:noProof/>
          <w:lang w:val="hr-HR" w:eastAsia="en-GB"/>
        </w:rPr>
        <w:t xml:space="preserve"> </w:t>
      </w:r>
      <w:r w:rsidR="000A7BBB">
        <w:rPr>
          <w:bCs/>
          <w:iCs/>
          <w:noProof/>
          <w:lang w:val="hr-HR" w:eastAsia="en-GB"/>
        </w:rPr>
        <w:t>s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 xml:space="preserve"> </w:t>
      </w:r>
      <w:r w:rsidR="00C24D6E">
        <w:rPr>
          <w:bCs/>
          <w:iCs/>
          <w:noProof/>
          <w:lang w:val="hr-HR" w:eastAsia="en-GB"/>
        </w:rPr>
        <w:t>Gjilanit</w:t>
      </w:r>
      <w:r w:rsidR="000A7BBB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cakton normat tatimore </w:t>
      </w:r>
      <w:r w:rsidR="000A7BBB">
        <w:rPr>
          <w:bCs/>
          <w:iCs/>
          <w:noProof/>
          <w:lang w:val="hr-HR" w:eastAsia="en-GB"/>
        </w:rPr>
        <w:t>p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>r vitin 20</w:t>
      </w:r>
      <w:r w:rsidR="00C85A60">
        <w:rPr>
          <w:bCs/>
          <w:iCs/>
          <w:noProof/>
          <w:lang w:val="hr-HR" w:eastAsia="en-GB"/>
        </w:rPr>
        <w:t>20</w:t>
      </w:r>
      <w:r w:rsidR="000A7BBB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për të gjitha kategoritë e pronave, me përjashtim të kategorisë pronë publike, </w:t>
      </w:r>
      <w:r w:rsidR="000A7BBB">
        <w:rPr>
          <w:bCs/>
          <w:iCs/>
          <w:noProof/>
          <w:lang w:val="hr-HR" w:eastAsia="en-GB"/>
        </w:rPr>
        <w:t>si vijon:</w:t>
      </w:r>
    </w:p>
    <w:p w:rsidR="00F6632B" w:rsidRPr="00F6632B" w:rsidRDefault="00F6632B" w:rsidP="00F663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3699"/>
      </w:tblGrid>
      <w:tr w:rsidR="00A7535C" w:rsidRPr="00F6632B" w:rsidTr="00371EB2">
        <w:trPr>
          <w:trHeight w:val="197"/>
        </w:trPr>
        <w:tc>
          <w:tcPr>
            <w:tcW w:w="4641" w:type="dxa"/>
          </w:tcPr>
          <w:p w:rsidR="00A7535C" w:rsidRPr="00F6632B" w:rsidRDefault="00A7535C" w:rsidP="009D2A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Kategoria e Pronës</w:t>
            </w:r>
          </w:p>
        </w:tc>
        <w:tc>
          <w:tcPr>
            <w:tcW w:w="3699" w:type="dxa"/>
          </w:tcPr>
          <w:p w:rsidR="00A7535C" w:rsidRPr="00F6632B" w:rsidRDefault="00A7535C" w:rsidP="009D2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 tatimore</w:t>
            </w:r>
            <w:r w:rsidR="00C24D6E">
              <w:rPr>
                <w:b/>
                <w:bCs/>
              </w:rPr>
              <w:t xml:space="preserve"> %</w:t>
            </w:r>
          </w:p>
        </w:tc>
      </w:tr>
      <w:tr w:rsidR="00A7535C" w:rsidRPr="00F6632B" w:rsidTr="00B32F7D">
        <w:trPr>
          <w:trHeight w:val="368"/>
        </w:trPr>
        <w:tc>
          <w:tcPr>
            <w:tcW w:w="4641" w:type="dxa"/>
            <w:vAlign w:val="center"/>
          </w:tcPr>
          <w:p w:rsidR="00A7535C" w:rsidRPr="00F6632B" w:rsidRDefault="00A7535C" w:rsidP="00B32F7D">
            <w:r>
              <w:rPr>
                <w:bCs/>
                <w:iCs/>
                <w:noProof/>
                <w:lang w:val="hr-HR" w:eastAsia="en-GB"/>
              </w:rPr>
              <w:t>P</w:t>
            </w:r>
            <w:r w:rsidR="000A7BBB">
              <w:rPr>
                <w:bCs/>
                <w:iCs/>
                <w:noProof/>
                <w:lang w:val="hr-HR" w:eastAsia="en-GB"/>
              </w:rPr>
              <w:t>ë</w:t>
            </w:r>
            <w:r>
              <w:rPr>
                <w:bCs/>
                <w:iCs/>
                <w:noProof/>
                <w:lang w:val="hr-HR" w:eastAsia="en-GB"/>
              </w:rPr>
              <w:t xml:space="preserve">r </w:t>
            </w:r>
            <w:r w:rsidRPr="003952E2">
              <w:rPr>
                <w:bCs/>
                <w:iCs/>
                <w:noProof/>
                <w:lang w:val="hr-HR" w:eastAsia="en-GB"/>
              </w:rPr>
              <w:t>njësitë bujqësore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bujqësore të objekteve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pyjore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rezidenciale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rezidenciale të objekteve</w:t>
            </w:r>
          </w:p>
        </w:tc>
        <w:tc>
          <w:tcPr>
            <w:tcW w:w="3699" w:type="dxa"/>
          </w:tcPr>
          <w:p w:rsidR="00A7535C" w:rsidRPr="00F6632B" w:rsidRDefault="00C24D6E" w:rsidP="00C24D6E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komerciale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0.17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komerciale të objekteve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0.17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industriale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industriale të objekteve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</w:tbl>
    <w:p w:rsidR="00F6632B" w:rsidRDefault="00F6632B" w:rsidP="00F6632B">
      <w:pPr>
        <w:rPr>
          <w:b/>
          <w:bCs/>
        </w:rPr>
      </w:pPr>
      <w:r w:rsidRPr="00F6632B">
        <w:rPr>
          <w:b/>
          <w:bCs/>
        </w:rPr>
        <w:t xml:space="preserve"> </w:t>
      </w:r>
    </w:p>
    <w:p w:rsidR="00D4553F" w:rsidRDefault="00D4553F" w:rsidP="00F6632B">
      <w:pPr>
        <w:rPr>
          <w:b/>
          <w:bCs/>
        </w:rPr>
      </w:pPr>
    </w:p>
    <w:p w:rsidR="00D4553F" w:rsidRDefault="00D4553F" w:rsidP="00F6632B">
      <w:pPr>
        <w:rPr>
          <w:b/>
          <w:bCs/>
        </w:rPr>
      </w:pPr>
    </w:p>
    <w:p w:rsidR="00D4553F" w:rsidRDefault="00D4553F" w:rsidP="00F6632B">
      <w:pPr>
        <w:rPr>
          <w:b/>
          <w:bCs/>
        </w:rPr>
      </w:pPr>
    </w:p>
    <w:p w:rsidR="00F6632B" w:rsidRDefault="00B32F7D" w:rsidP="00F6632B">
      <w:pPr>
        <w:jc w:val="center"/>
        <w:rPr>
          <w:b/>
          <w:bCs/>
        </w:rPr>
      </w:pPr>
      <w:r>
        <w:rPr>
          <w:b/>
          <w:bCs/>
        </w:rPr>
        <w:t>Neni 4</w:t>
      </w:r>
    </w:p>
    <w:p w:rsidR="00847775" w:rsidRPr="00F6632B" w:rsidRDefault="00847775" w:rsidP="00F6632B">
      <w:pPr>
        <w:jc w:val="center"/>
        <w:rPr>
          <w:b/>
          <w:bCs/>
        </w:rPr>
      </w:pPr>
      <w:r>
        <w:rPr>
          <w:b/>
          <w:bCs/>
        </w:rPr>
        <w:t>Shfuqizimi</w:t>
      </w:r>
    </w:p>
    <w:p w:rsidR="00F6632B" w:rsidRPr="00F6632B" w:rsidRDefault="00F6632B" w:rsidP="00F6632B">
      <w:pPr>
        <w:rPr>
          <w:b/>
          <w:bCs/>
        </w:rPr>
      </w:pPr>
    </w:p>
    <w:p w:rsidR="00F6632B" w:rsidRDefault="006B60D3" w:rsidP="00847775">
      <w:pPr>
        <w:pStyle w:val="BodyTextIndent"/>
        <w:ind w:left="0"/>
      </w:pPr>
      <w:r>
        <w:t xml:space="preserve"> </w:t>
      </w:r>
      <w:r w:rsidR="00847775">
        <w:t>Kjo Rreg</w:t>
      </w:r>
      <w:r w:rsidR="009B64C7">
        <w:t>ullore shfuqizon Rregulloren 01.Nr.</w:t>
      </w:r>
      <w:r w:rsidR="00847775">
        <w:t xml:space="preserve"> </w:t>
      </w:r>
      <w:r>
        <w:t>016-</w:t>
      </w:r>
      <w:r w:rsidR="009B64C7">
        <w:t>126665</w:t>
      </w:r>
      <w:r w:rsidR="00847775">
        <w:t>, dat</w:t>
      </w:r>
      <w:r w:rsidR="000A7BBB">
        <w:t>ë</w:t>
      </w:r>
      <w:r w:rsidR="00847775">
        <w:t xml:space="preserve"> </w:t>
      </w:r>
      <w:r w:rsidR="009B64C7">
        <w:t>26.11.201</w:t>
      </w:r>
      <w:r w:rsidR="00214DD6">
        <w:t>8</w:t>
      </w:r>
      <w:r w:rsidR="00847775">
        <w:t xml:space="preserve"> </w:t>
      </w:r>
      <w:r>
        <w:t>.</w:t>
      </w:r>
    </w:p>
    <w:p w:rsidR="00847775" w:rsidRDefault="00847775" w:rsidP="00847775">
      <w:pPr>
        <w:pStyle w:val="BodyTextIndent"/>
        <w:ind w:left="0"/>
      </w:pPr>
    </w:p>
    <w:p w:rsidR="00847775" w:rsidRDefault="00B32F7D" w:rsidP="00847775">
      <w:pPr>
        <w:jc w:val="center"/>
        <w:rPr>
          <w:b/>
          <w:bCs/>
        </w:rPr>
      </w:pPr>
      <w:r>
        <w:rPr>
          <w:b/>
          <w:bCs/>
        </w:rPr>
        <w:t>Neni 5</w:t>
      </w:r>
    </w:p>
    <w:p w:rsidR="00847775" w:rsidRPr="00F6632B" w:rsidRDefault="00847775" w:rsidP="00847775">
      <w:pPr>
        <w:jc w:val="center"/>
        <w:rPr>
          <w:b/>
          <w:bCs/>
        </w:rPr>
      </w:pPr>
      <w:r>
        <w:rPr>
          <w:b/>
          <w:bCs/>
        </w:rPr>
        <w:t>Hyrja n</w:t>
      </w:r>
      <w:r w:rsidR="000A7BBB">
        <w:rPr>
          <w:b/>
          <w:bCs/>
        </w:rPr>
        <w:t>ë</w:t>
      </w:r>
      <w:r>
        <w:rPr>
          <w:b/>
          <w:bCs/>
        </w:rPr>
        <w:t xml:space="preserve"> fuqi</w:t>
      </w:r>
    </w:p>
    <w:p w:rsidR="00847775" w:rsidRPr="00F6632B" w:rsidRDefault="00847775" w:rsidP="00847775">
      <w:pPr>
        <w:pStyle w:val="BodyTextIndent"/>
        <w:ind w:left="0"/>
      </w:pPr>
    </w:p>
    <w:p w:rsidR="00F6632B" w:rsidRPr="00F6632B" w:rsidRDefault="00F6632B" w:rsidP="00F6632B">
      <w:pPr>
        <w:pStyle w:val="BodyTextIndent"/>
        <w:ind w:left="0"/>
      </w:pPr>
      <w:r w:rsidRPr="00F6632B">
        <w:t>Kjo</w:t>
      </w:r>
      <w:r w:rsidR="00847775">
        <w:t xml:space="preserve"> rregullore hyn në fuqi 8 ditë pas miratimit </w:t>
      </w:r>
      <w:r w:rsidRPr="00F6632B">
        <w:t>nga ana e Kuvendit Komunal</w:t>
      </w:r>
      <w:r w:rsidR="00847775">
        <w:t xml:space="preserve"> dhe do </w:t>
      </w:r>
      <w:r w:rsidR="00B32F7D">
        <w:t xml:space="preserve">të </w:t>
      </w:r>
      <w:r w:rsidR="00847775">
        <w:t xml:space="preserve">filloj së zbatuari nga </w:t>
      </w:r>
      <w:r w:rsidR="00BB7681">
        <w:t>1 janari 2020</w:t>
      </w:r>
      <w:r w:rsidRPr="00F6632B">
        <w:t>.</w:t>
      </w:r>
    </w:p>
    <w:p w:rsidR="00F6632B" w:rsidRPr="00F6632B" w:rsidRDefault="00F6632B" w:rsidP="00F6632B">
      <w:pPr>
        <w:pStyle w:val="BodyTextIndent"/>
        <w:ind w:left="0" w:firstLine="720"/>
      </w:pPr>
    </w:p>
    <w:p w:rsidR="00F6632B" w:rsidRPr="00D8234A" w:rsidRDefault="00F6632B" w:rsidP="00F6632B">
      <w:p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>Rregullorja i dorëzohet: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>Komitetit për politikë dhe Financa,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Drejtorisë për </w:t>
      </w:r>
      <w:r w:rsidR="00D8234A">
        <w:rPr>
          <w:i/>
          <w:sz w:val="22"/>
          <w:szCs w:val="22"/>
        </w:rPr>
        <w:t>Buxhet dhe F</w:t>
      </w:r>
      <w:r w:rsidRPr="00D8234A">
        <w:rPr>
          <w:i/>
          <w:sz w:val="22"/>
          <w:szCs w:val="22"/>
        </w:rPr>
        <w:t>inanca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Ministrisë për </w:t>
      </w:r>
      <w:r w:rsidR="00D8234A">
        <w:rPr>
          <w:i/>
          <w:sz w:val="22"/>
          <w:szCs w:val="22"/>
        </w:rPr>
        <w:t>Financa</w:t>
      </w:r>
    </w:p>
    <w:p w:rsidR="00F6632B" w:rsidRPr="00D8234A" w:rsidRDefault="00D8234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Sektorit të Tatimit në Pronë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 Arkivit komunal</w:t>
      </w:r>
    </w:p>
    <w:p w:rsidR="00847775" w:rsidRDefault="00847775" w:rsidP="00847775">
      <w:pPr>
        <w:ind w:left="720"/>
        <w:rPr>
          <w:i/>
        </w:rPr>
      </w:pPr>
    </w:p>
    <w:p w:rsidR="006B60D3" w:rsidRDefault="006B60D3" w:rsidP="00847775">
      <w:pPr>
        <w:ind w:left="720"/>
        <w:rPr>
          <w:i/>
        </w:rPr>
      </w:pPr>
    </w:p>
    <w:p w:rsidR="00847775" w:rsidRDefault="00847775" w:rsidP="00847775">
      <w:pPr>
        <w:ind w:left="720"/>
        <w:rPr>
          <w:i/>
        </w:rPr>
      </w:pPr>
    </w:p>
    <w:p w:rsidR="000A7BBB" w:rsidRPr="000A7BBB" w:rsidRDefault="002E30DD" w:rsidP="000A7BBB">
      <w:pPr>
        <w:pStyle w:val="Heading6"/>
        <w:rPr>
          <w:i w:val="0"/>
        </w:rPr>
      </w:pPr>
      <w:r>
        <w:rPr>
          <w:i w:val="0"/>
        </w:rPr>
        <w:t>01.Nr.</w:t>
      </w:r>
      <w:r>
        <w:rPr>
          <w:i w:val="0"/>
          <w:u w:val="single"/>
        </w:rPr>
        <w:t xml:space="preserve"> 016-145897  </w:t>
      </w:r>
      <w:r w:rsidR="000A7BBB" w:rsidRPr="000A7BBB">
        <w:rPr>
          <w:i w:val="0"/>
        </w:rPr>
        <w:tab/>
      </w:r>
      <w:r w:rsidR="000A7BBB" w:rsidRPr="000A7BBB">
        <w:rPr>
          <w:i w:val="0"/>
        </w:rPr>
        <w:tab/>
      </w:r>
      <w:r w:rsidR="000A7BBB" w:rsidRPr="000A7BBB">
        <w:rPr>
          <w:i w:val="0"/>
        </w:rPr>
        <w:tab/>
      </w:r>
      <w:r w:rsidR="006B60D3">
        <w:rPr>
          <w:i w:val="0"/>
        </w:rPr>
        <w:t xml:space="preserve">            </w:t>
      </w:r>
      <w:r w:rsidR="00117F70">
        <w:rPr>
          <w:i w:val="0"/>
        </w:rPr>
        <w:t xml:space="preserve">                                  </w:t>
      </w:r>
      <w:r w:rsidR="00977624">
        <w:rPr>
          <w:i w:val="0"/>
        </w:rPr>
        <w:t>Kryesuesja e kuvendit</w:t>
      </w:r>
    </w:p>
    <w:p w:rsidR="00117F70" w:rsidRDefault="00291DA7" w:rsidP="000A7BBB">
      <w:r>
        <w:t xml:space="preserve"> Gjilan,</w:t>
      </w:r>
      <w:r w:rsidR="002E30DD">
        <w:t xml:space="preserve"> më 26.</w:t>
      </w:r>
      <w:r w:rsidR="006B60D3">
        <w:t>11.201</w:t>
      </w:r>
      <w:r w:rsidR="00BB7681">
        <w:t>9</w:t>
      </w:r>
      <w:r w:rsidR="00117F70">
        <w:tab/>
      </w:r>
      <w:r w:rsidR="00117F70">
        <w:tab/>
      </w:r>
      <w:r w:rsidR="00117F70">
        <w:tab/>
      </w:r>
      <w:r w:rsidR="00117F70">
        <w:tab/>
      </w:r>
      <w:r w:rsidR="00117F70">
        <w:tab/>
        <w:t xml:space="preserve">      _____________________</w:t>
      </w:r>
    </w:p>
    <w:p w:rsidR="000A7BBB" w:rsidRDefault="000A7BBB" w:rsidP="000A7BBB"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="00977624">
        <w:t xml:space="preserve">          </w:t>
      </w:r>
      <w:r w:rsidR="00117F70">
        <w:t xml:space="preserve">                                </w:t>
      </w:r>
      <w:r w:rsidR="00977624">
        <w:t xml:space="preserve"> Shpresa </w:t>
      </w:r>
      <w:r w:rsidR="00A864C9">
        <w:t>K</w:t>
      </w:r>
      <w:r w:rsidR="00977624">
        <w:t>urteshi-Emini</w:t>
      </w:r>
    </w:p>
    <w:p w:rsidR="000A7BBB" w:rsidRPr="000A7BBB" w:rsidRDefault="000A7BBB" w:rsidP="00117F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7BBB" w:rsidRPr="000A7B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AB"/>
    <w:multiLevelType w:val="hybridMultilevel"/>
    <w:tmpl w:val="69E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E9C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60EAA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FB723F"/>
    <w:multiLevelType w:val="hybridMultilevel"/>
    <w:tmpl w:val="EEFCCC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A5F"/>
    <w:multiLevelType w:val="hybridMultilevel"/>
    <w:tmpl w:val="D0A84908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59A3"/>
    <w:multiLevelType w:val="multilevel"/>
    <w:tmpl w:val="07B60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606358"/>
    <w:multiLevelType w:val="multilevel"/>
    <w:tmpl w:val="1D2EF08C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44368E"/>
    <w:multiLevelType w:val="hybridMultilevel"/>
    <w:tmpl w:val="29C25254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542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506E33"/>
    <w:multiLevelType w:val="hybridMultilevel"/>
    <w:tmpl w:val="DCE4A9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5CE"/>
    <w:multiLevelType w:val="hybridMultilevel"/>
    <w:tmpl w:val="959AA720"/>
    <w:lvl w:ilvl="0" w:tplc="F6385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97A4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A12C88"/>
    <w:multiLevelType w:val="multilevel"/>
    <w:tmpl w:val="94285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9C91799"/>
    <w:multiLevelType w:val="hybridMultilevel"/>
    <w:tmpl w:val="CA9426B6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0B4"/>
    <w:multiLevelType w:val="hybridMultilevel"/>
    <w:tmpl w:val="980EB76A"/>
    <w:lvl w:ilvl="0" w:tplc="367E0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A01E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C7762"/>
    <w:multiLevelType w:val="hybridMultilevel"/>
    <w:tmpl w:val="7748788E"/>
    <w:lvl w:ilvl="0" w:tplc="76E22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2B"/>
    <w:rsid w:val="00020CAA"/>
    <w:rsid w:val="000510AC"/>
    <w:rsid w:val="000A7BBB"/>
    <w:rsid w:val="000F63D0"/>
    <w:rsid w:val="00117F70"/>
    <w:rsid w:val="00124369"/>
    <w:rsid w:val="00124A77"/>
    <w:rsid w:val="00131563"/>
    <w:rsid w:val="0019112D"/>
    <w:rsid w:val="00193804"/>
    <w:rsid w:val="001B2BD4"/>
    <w:rsid w:val="002141DE"/>
    <w:rsid w:val="00214DD6"/>
    <w:rsid w:val="00291DA7"/>
    <w:rsid w:val="002A307D"/>
    <w:rsid w:val="002E1846"/>
    <w:rsid w:val="002E30DD"/>
    <w:rsid w:val="002F1B03"/>
    <w:rsid w:val="002F3CF9"/>
    <w:rsid w:val="00371EB2"/>
    <w:rsid w:val="003914C1"/>
    <w:rsid w:val="003A238D"/>
    <w:rsid w:val="003A2EC0"/>
    <w:rsid w:val="003C01C5"/>
    <w:rsid w:val="003C72CA"/>
    <w:rsid w:val="003D0929"/>
    <w:rsid w:val="003D1D54"/>
    <w:rsid w:val="003D5004"/>
    <w:rsid w:val="003F0FFD"/>
    <w:rsid w:val="004361BA"/>
    <w:rsid w:val="00450B92"/>
    <w:rsid w:val="0059138A"/>
    <w:rsid w:val="005E4F46"/>
    <w:rsid w:val="005F5F48"/>
    <w:rsid w:val="006146D3"/>
    <w:rsid w:val="00617996"/>
    <w:rsid w:val="00625C81"/>
    <w:rsid w:val="006445B8"/>
    <w:rsid w:val="006611A0"/>
    <w:rsid w:val="006B60D3"/>
    <w:rsid w:val="006F3316"/>
    <w:rsid w:val="0075063B"/>
    <w:rsid w:val="007D46A6"/>
    <w:rsid w:val="0080466B"/>
    <w:rsid w:val="00847775"/>
    <w:rsid w:val="00881EF9"/>
    <w:rsid w:val="00882ED8"/>
    <w:rsid w:val="008D12A6"/>
    <w:rsid w:val="008D141F"/>
    <w:rsid w:val="008E4559"/>
    <w:rsid w:val="009235FC"/>
    <w:rsid w:val="00962AD5"/>
    <w:rsid w:val="009676A2"/>
    <w:rsid w:val="00977624"/>
    <w:rsid w:val="009B64C7"/>
    <w:rsid w:val="00A7535C"/>
    <w:rsid w:val="00A864C9"/>
    <w:rsid w:val="00A95A5F"/>
    <w:rsid w:val="00AD4463"/>
    <w:rsid w:val="00AE31CC"/>
    <w:rsid w:val="00AF3854"/>
    <w:rsid w:val="00B215F4"/>
    <w:rsid w:val="00B32F7D"/>
    <w:rsid w:val="00B71DE8"/>
    <w:rsid w:val="00BB7681"/>
    <w:rsid w:val="00BC01C1"/>
    <w:rsid w:val="00BC295F"/>
    <w:rsid w:val="00BE0371"/>
    <w:rsid w:val="00C11268"/>
    <w:rsid w:val="00C24D6E"/>
    <w:rsid w:val="00C60BEF"/>
    <w:rsid w:val="00C7082B"/>
    <w:rsid w:val="00C720C8"/>
    <w:rsid w:val="00C85A60"/>
    <w:rsid w:val="00C94897"/>
    <w:rsid w:val="00CA7EB3"/>
    <w:rsid w:val="00CC1A42"/>
    <w:rsid w:val="00D03962"/>
    <w:rsid w:val="00D13D75"/>
    <w:rsid w:val="00D3317B"/>
    <w:rsid w:val="00D34B14"/>
    <w:rsid w:val="00D4553F"/>
    <w:rsid w:val="00D8234A"/>
    <w:rsid w:val="00DF66AB"/>
    <w:rsid w:val="00E66F99"/>
    <w:rsid w:val="00E70835"/>
    <w:rsid w:val="00E74CB5"/>
    <w:rsid w:val="00F11A90"/>
    <w:rsid w:val="00F34275"/>
    <w:rsid w:val="00F3714C"/>
    <w:rsid w:val="00F64114"/>
    <w:rsid w:val="00F6632B"/>
    <w:rsid w:val="00F77191"/>
    <w:rsid w:val="00F93A8D"/>
    <w:rsid w:val="00F97CF0"/>
    <w:rsid w:val="00FB2D4B"/>
    <w:rsid w:val="00FB319D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874C"/>
  <w15:docId w15:val="{5AF75E48-8776-4D01-8B7E-E4EB3DF0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Tahoma" w:eastAsia="Times New Roman" w:hAnsi="Tahoma" w:cs="Tahoma"/>
      <w:b w:val="0"/>
      <w:smallCaps w:val="0"/>
      <w:sz w:val="16"/>
      <w:szCs w:val="16"/>
      <w:vertAlign w:val="baseline"/>
      <w:lang w:val="sq-AL"/>
    </w:rPr>
  </w:style>
  <w:style w:type="table" w:styleId="TableGrid">
    <w:name w:val="Table Grid"/>
    <w:basedOn w:val="TableNormal"/>
    <w:uiPriority w:val="39"/>
    <w:rsid w:val="00CA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D8B7-74EC-4AF1-B429-9F5F2D3F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Agroni</dc:creator>
  <cp:keywords/>
  <dc:description/>
  <cp:lastModifiedBy>Sadri Arifi</cp:lastModifiedBy>
  <cp:revision>6</cp:revision>
  <cp:lastPrinted>2019-11-07T10:05:00Z</cp:lastPrinted>
  <dcterms:created xsi:type="dcterms:W3CDTF">2019-11-08T11:56:00Z</dcterms:created>
  <dcterms:modified xsi:type="dcterms:W3CDTF">2019-12-02T08:24:00Z</dcterms:modified>
</cp:coreProperties>
</file>