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C3" w:rsidRPr="004B4EF0" w:rsidRDefault="00C71EC3" w:rsidP="00C71EC3">
      <w:pPr>
        <w:pStyle w:val="Heading6"/>
        <w:spacing w:before="0"/>
        <w:jc w:val="both"/>
        <w:rPr>
          <w:rFonts w:ascii="Book Antiqua" w:hAnsi="Book Antiqua"/>
        </w:rPr>
      </w:pPr>
      <w:r w:rsidRPr="004B4EF0">
        <w:rPr>
          <w:rFonts w:ascii="Book Antiqua" w:hAnsi="Book Antiqua"/>
          <w:noProof/>
          <w:lang w:eastAsia="sq-AL"/>
        </w:rPr>
        <w:drawing>
          <wp:inline distT="0" distB="0" distL="0" distR="0" wp14:anchorId="287B250D" wp14:editId="1749321A">
            <wp:extent cx="962025" cy="110490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ema%20(100px)"/>
                    <pic:cNvPicPr>
                      <a:picLocks noChangeAspect="1" noChangeArrowheads="1"/>
                    </pic:cNvPicPr>
                  </pic:nvPicPr>
                  <pic:blipFill>
                    <a:blip r:embed="rId6"/>
                    <a:stretch>
                      <a:fillRect/>
                    </a:stretch>
                  </pic:blipFill>
                  <pic:spPr bwMode="auto">
                    <a:xfrm>
                      <a:off x="0" y="0"/>
                      <a:ext cx="962025" cy="1104900"/>
                    </a:xfrm>
                    <a:prstGeom prst="rect">
                      <a:avLst/>
                    </a:prstGeom>
                  </pic:spPr>
                </pic:pic>
              </a:graphicData>
            </a:graphic>
          </wp:inline>
        </w:drawing>
      </w:r>
      <w:r w:rsidRPr="004B4EF0">
        <w:rPr>
          <w:rFonts w:ascii="Book Antiqua" w:hAnsi="Book Antiqua"/>
        </w:rPr>
        <w:t xml:space="preserve">                                                                                                         </w:t>
      </w:r>
      <w:r w:rsidRPr="004B4EF0">
        <w:rPr>
          <w:rFonts w:ascii="Book Antiqua" w:hAnsi="Book Antiqua"/>
          <w:noProof/>
          <w:lang w:eastAsia="sq-AL"/>
        </w:rPr>
        <w:drawing>
          <wp:inline distT="0" distB="0" distL="0" distR="0" wp14:anchorId="6E13C2C5" wp14:editId="0723E9AB">
            <wp:extent cx="857250" cy="1152525"/>
            <wp:effectExtent l="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va14"/>
                    <pic:cNvPicPr>
                      <a:picLocks noChangeAspect="1" noChangeArrowheads="1"/>
                    </pic:cNvPicPr>
                  </pic:nvPicPr>
                  <pic:blipFill>
                    <a:blip r:embed="rId7"/>
                    <a:stretch>
                      <a:fillRect/>
                    </a:stretch>
                  </pic:blipFill>
                  <pic:spPr bwMode="auto">
                    <a:xfrm>
                      <a:off x="0" y="0"/>
                      <a:ext cx="857250" cy="1152525"/>
                    </a:xfrm>
                    <a:prstGeom prst="rect">
                      <a:avLst/>
                    </a:prstGeom>
                  </pic:spPr>
                </pic:pic>
              </a:graphicData>
            </a:graphic>
          </wp:inline>
        </w:drawing>
      </w:r>
      <w:r w:rsidRPr="004B4EF0">
        <w:rPr>
          <w:rFonts w:ascii="Book Antiqua" w:hAnsi="Book Antiqua"/>
        </w:rPr>
        <w:t xml:space="preserve">         </w:t>
      </w:r>
    </w:p>
    <w:p w:rsidR="00C71EC3" w:rsidRPr="004B4EF0" w:rsidRDefault="00C71EC3" w:rsidP="00C71EC3">
      <w:pPr>
        <w:pStyle w:val="Heading6"/>
        <w:spacing w:before="0"/>
        <w:jc w:val="both"/>
        <w:rPr>
          <w:rFonts w:ascii="Book Antiqua" w:hAnsi="Book Antiqua"/>
        </w:rPr>
      </w:pPr>
      <w:r w:rsidRPr="004B4EF0">
        <w:rPr>
          <w:rFonts w:ascii="Book Antiqua" w:hAnsi="Book Antiqua"/>
          <w:b/>
          <w:color w:val="000000" w:themeColor="text1"/>
        </w:rPr>
        <w:t xml:space="preserve">Republika e Kosovës                                                                           </w:t>
      </w:r>
      <w:r w:rsidRPr="004B4EF0">
        <w:rPr>
          <w:rFonts w:ascii="Book Antiqua" w:hAnsi="Book Antiqua"/>
          <w:b/>
          <w:color w:val="000000" w:themeColor="text1"/>
        </w:rPr>
        <w:tab/>
        <w:t xml:space="preserve">           Komuna e Gjilanit</w:t>
      </w:r>
    </w:p>
    <w:p w:rsidR="00C71EC3" w:rsidRPr="004B4EF0" w:rsidRDefault="00C71EC3" w:rsidP="00C71EC3">
      <w:pPr>
        <w:pStyle w:val="Heading6"/>
        <w:spacing w:before="0"/>
        <w:jc w:val="both"/>
        <w:rPr>
          <w:rFonts w:ascii="Book Antiqua" w:hAnsi="Book Antiqua"/>
        </w:rPr>
      </w:pPr>
      <w:r w:rsidRPr="004B4EF0">
        <w:rPr>
          <w:rFonts w:ascii="Book Antiqua" w:hAnsi="Book Antiqua"/>
          <w:b/>
          <w:color w:val="000000" w:themeColor="text1"/>
        </w:rPr>
        <w:t xml:space="preserve">Republika Kosova                                                                              </w:t>
      </w:r>
      <w:r w:rsidRPr="004B4EF0">
        <w:rPr>
          <w:rFonts w:ascii="Book Antiqua" w:hAnsi="Book Antiqua"/>
          <w:b/>
          <w:color w:val="000000" w:themeColor="text1"/>
        </w:rPr>
        <w:tab/>
        <w:t xml:space="preserve">           Opstina Gnjilane</w:t>
      </w:r>
    </w:p>
    <w:p w:rsidR="00C71EC3" w:rsidRPr="004B4EF0" w:rsidRDefault="00C71EC3" w:rsidP="00C71EC3">
      <w:pPr>
        <w:pStyle w:val="Heading6"/>
        <w:spacing w:before="0"/>
        <w:jc w:val="both"/>
        <w:rPr>
          <w:rFonts w:ascii="Book Antiqua" w:hAnsi="Book Antiqua"/>
        </w:rPr>
      </w:pPr>
      <w:r w:rsidRPr="004B4EF0">
        <w:rPr>
          <w:rFonts w:ascii="Book Antiqua" w:hAnsi="Book Antiqua"/>
          <w:b/>
          <w:color w:val="000000" w:themeColor="text1"/>
        </w:rPr>
        <w:t xml:space="preserve">Republic of Kosovo                                                                             </w:t>
      </w:r>
      <w:r w:rsidRPr="004B4EF0">
        <w:rPr>
          <w:rFonts w:ascii="Book Antiqua" w:hAnsi="Book Antiqua"/>
          <w:b/>
          <w:color w:val="000000" w:themeColor="text1"/>
        </w:rPr>
        <w:tab/>
        <w:t xml:space="preserve">           Municipality of Gjilan </w:t>
      </w:r>
    </w:p>
    <w:p w:rsidR="00C71EC3" w:rsidRDefault="00C71EC3" w:rsidP="00C71EC3">
      <w:pPr>
        <w:jc w:val="center"/>
        <w:rPr>
          <w:rFonts w:ascii="Book Antiqua" w:hAnsi="Book Antiqua"/>
          <w:b/>
          <w:color w:val="000000" w:themeColor="text1"/>
        </w:rPr>
      </w:pPr>
      <w:r w:rsidRPr="004B4EF0">
        <w:rPr>
          <w:rFonts w:ascii="Book Antiqua" w:hAnsi="Book Antiqua"/>
          <w:b/>
          <w:color w:val="000000" w:themeColor="text1"/>
        </w:rPr>
        <w:t xml:space="preserve">                                                                                                            Gilan Belediyesi</w:t>
      </w:r>
    </w:p>
    <w:p w:rsidR="00C71EC3" w:rsidRDefault="00C71EC3" w:rsidP="00C71EC3">
      <w:pPr>
        <w:jc w:val="center"/>
        <w:rPr>
          <w:rFonts w:ascii="Book Antiqua" w:hAnsi="Book Antiqua"/>
          <w:b/>
          <w:color w:val="000000" w:themeColor="text1"/>
        </w:rPr>
      </w:pPr>
    </w:p>
    <w:p w:rsidR="00C71EC3" w:rsidRDefault="00C71EC3" w:rsidP="00C71EC3">
      <w:pPr>
        <w:jc w:val="center"/>
        <w:rPr>
          <w:rFonts w:ascii="Book Antiqua" w:hAnsi="Book Antiqua"/>
          <w:b/>
          <w:color w:val="000000" w:themeColor="text1"/>
        </w:rPr>
      </w:pPr>
    </w:p>
    <w:p w:rsidR="00C71EC3" w:rsidRDefault="00BA673F" w:rsidP="00C71EC3">
      <w:pPr>
        <w:jc w:val="center"/>
        <w:rPr>
          <w:rFonts w:ascii="Book Antiqua" w:hAnsi="Book Antiqua"/>
          <w:b/>
          <w:color w:val="000000" w:themeColor="text1"/>
        </w:rPr>
      </w:pPr>
      <w:r>
        <w:rPr>
          <w:rFonts w:ascii="Book Antiqua" w:hAnsi="Book Antiqua"/>
          <w:b/>
          <w:color w:val="000000" w:themeColor="text1"/>
        </w:rPr>
        <w:t>Procesverbal nga</w:t>
      </w:r>
      <w:r w:rsidR="0012445D">
        <w:rPr>
          <w:rFonts w:ascii="Book Antiqua" w:hAnsi="Book Antiqua"/>
          <w:b/>
          <w:color w:val="000000" w:themeColor="text1"/>
        </w:rPr>
        <w:t xml:space="preserve"> </w:t>
      </w:r>
      <w:bookmarkStart w:id="0" w:name="_GoBack"/>
      <w:bookmarkEnd w:id="0"/>
      <w:r w:rsidR="00C71EC3">
        <w:rPr>
          <w:rFonts w:ascii="Book Antiqua" w:hAnsi="Book Antiqua"/>
          <w:b/>
          <w:color w:val="000000" w:themeColor="text1"/>
        </w:rPr>
        <w:t>Dëgjimi publik me qytetarë</w:t>
      </w:r>
      <w:r>
        <w:rPr>
          <w:rFonts w:ascii="Book Antiqua" w:hAnsi="Book Antiqua"/>
          <w:b/>
          <w:color w:val="000000" w:themeColor="text1"/>
        </w:rPr>
        <w:t xml:space="preserve"> për KAB 2022/2024</w:t>
      </w:r>
    </w:p>
    <w:p w:rsidR="00C71EC3" w:rsidRDefault="00C71EC3" w:rsidP="00C71EC3">
      <w:pPr>
        <w:jc w:val="center"/>
        <w:rPr>
          <w:rFonts w:ascii="Book Antiqua" w:hAnsi="Book Antiqua"/>
          <w:b/>
          <w:color w:val="000000" w:themeColor="text1"/>
        </w:rPr>
      </w:pPr>
    </w:p>
    <w:p w:rsidR="00C71EC3" w:rsidRDefault="00C71EC3" w:rsidP="00C71EC3">
      <w:pPr>
        <w:jc w:val="center"/>
        <w:rPr>
          <w:rFonts w:ascii="Book Antiqua" w:hAnsi="Book Antiqua"/>
          <w:b/>
          <w:color w:val="000000" w:themeColor="text1"/>
        </w:rPr>
      </w:pPr>
    </w:p>
    <w:p w:rsidR="00C71EC3" w:rsidRPr="008330A3" w:rsidRDefault="00C71EC3" w:rsidP="00C71EC3">
      <w:pPr>
        <w:spacing w:after="200" w:line="276" w:lineRule="auto"/>
        <w:contextualSpacing/>
        <w:jc w:val="both"/>
        <w:rPr>
          <w:rFonts w:ascii="Arial" w:hAnsi="Arial" w:cs="Arial"/>
          <w:b/>
        </w:rPr>
      </w:pPr>
      <w:r w:rsidRPr="008330A3">
        <w:rPr>
          <w:rFonts w:ascii="Arial" w:hAnsi="Arial" w:cs="Arial"/>
          <w:b/>
        </w:rPr>
        <w:t>Korniza Afatmesme Buxhetore-(KAB), për vitin fiskal 2022 dhe vlerësimet e hershme për vitet 2023-2024</w:t>
      </w:r>
    </w:p>
    <w:p w:rsidR="00C71EC3" w:rsidRPr="008330A3" w:rsidRDefault="00C71EC3" w:rsidP="00C71EC3">
      <w:pPr>
        <w:spacing w:after="200" w:line="276" w:lineRule="auto"/>
        <w:contextualSpacing/>
        <w:jc w:val="both"/>
        <w:rPr>
          <w:rFonts w:ascii="Arial" w:hAnsi="Arial" w:cs="Arial"/>
          <w:b/>
        </w:rPr>
      </w:pPr>
      <w:r w:rsidRPr="008330A3">
        <w:rPr>
          <w:rFonts w:ascii="Arial" w:hAnsi="Arial" w:cs="Arial"/>
          <w:b/>
        </w:rPr>
        <w:t>P</w:t>
      </w:r>
      <w:r>
        <w:rPr>
          <w:rFonts w:ascii="Arial" w:hAnsi="Arial" w:cs="Arial"/>
          <w:b/>
        </w:rPr>
        <w:t>jes</w:t>
      </w:r>
      <w:r w:rsidRPr="008330A3">
        <w:rPr>
          <w:rFonts w:ascii="Arial" w:hAnsi="Arial" w:cs="Arial"/>
          <w:b/>
        </w:rPr>
        <w:t>ëmar</w:t>
      </w:r>
      <w:r>
        <w:rPr>
          <w:rFonts w:ascii="Arial" w:hAnsi="Arial" w:cs="Arial"/>
          <w:b/>
        </w:rPr>
        <w:t>r</w:t>
      </w:r>
      <w:r w:rsidRPr="008330A3">
        <w:rPr>
          <w:rFonts w:ascii="Arial" w:hAnsi="Arial" w:cs="Arial"/>
          <w:b/>
        </w:rPr>
        <w:t>ës Komiteti p</w:t>
      </w:r>
      <w:r>
        <w:rPr>
          <w:rFonts w:ascii="Arial" w:hAnsi="Arial" w:cs="Arial"/>
          <w:b/>
        </w:rPr>
        <w:t>ë</w:t>
      </w:r>
      <w:r w:rsidRPr="008330A3">
        <w:rPr>
          <w:rFonts w:ascii="Arial" w:hAnsi="Arial" w:cs="Arial"/>
          <w:b/>
        </w:rPr>
        <w:t>r politik</w:t>
      </w:r>
      <w:r>
        <w:rPr>
          <w:rFonts w:ascii="Arial" w:hAnsi="Arial" w:cs="Arial"/>
          <w:b/>
        </w:rPr>
        <w:t>ë</w:t>
      </w:r>
      <w:r w:rsidRPr="008330A3">
        <w:rPr>
          <w:rFonts w:ascii="Arial" w:hAnsi="Arial" w:cs="Arial"/>
          <w:b/>
        </w:rPr>
        <w:t xml:space="preserve"> dhe Financa p</w:t>
      </w:r>
      <w:r>
        <w:rPr>
          <w:rFonts w:ascii="Arial" w:hAnsi="Arial" w:cs="Arial"/>
          <w:b/>
        </w:rPr>
        <w:t>ë</w:t>
      </w:r>
      <w:r w:rsidRPr="008330A3">
        <w:rPr>
          <w:rFonts w:ascii="Arial" w:hAnsi="Arial" w:cs="Arial"/>
          <w:b/>
        </w:rPr>
        <w:t>rfaqësuesit e Këshillave t</w:t>
      </w:r>
      <w:r>
        <w:rPr>
          <w:rFonts w:ascii="Arial" w:hAnsi="Arial" w:cs="Arial"/>
          <w:b/>
        </w:rPr>
        <w:t>ë</w:t>
      </w:r>
      <w:r w:rsidRPr="008330A3">
        <w:rPr>
          <w:rFonts w:ascii="Arial" w:hAnsi="Arial" w:cs="Arial"/>
          <w:b/>
        </w:rPr>
        <w:t xml:space="preserve"> fshatrave qytetar</w:t>
      </w:r>
      <w:r>
        <w:rPr>
          <w:rFonts w:ascii="Arial" w:hAnsi="Arial" w:cs="Arial"/>
          <w:b/>
        </w:rPr>
        <w:t>ë</w:t>
      </w:r>
      <w:r w:rsidRPr="008330A3">
        <w:rPr>
          <w:rFonts w:ascii="Arial" w:hAnsi="Arial" w:cs="Arial"/>
          <w:b/>
        </w:rPr>
        <w:t xml:space="preserve"> drejtor t</w:t>
      </w:r>
      <w:r>
        <w:rPr>
          <w:rFonts w:ascii="Arial" w:hAnsi="Arial" w:cs="Arial"/>
          <w:b/>
        </w:rPr>
        <w:t>ë</w:t>
      </w:r>
      <w:r w:rsidRPr="008330A3">
        <w:rPr>
          <w:rFonts w:ascii="Arial" w:hAnsi="Arial" w:cs="Arial"/>
          <w:b/>
        </w:rPr>
        <w:t xml:space="preserve"> drejtorive t</w:t>
      </w:r>
      <w:r>
        <w:rPr>
          <w:rFonts w:ascii="Arial" w:hAnsi="Arial" w:cs="Arial"/>
          <w:b/>
        </w:rPr>
        <w:t>ë</w:t>
      </w:r>
      <w:r w:rsidRPr="008330A3">
        <w:rPr>
          <w:rFonts w:ascii="Arial" w:hAnsi="Arial" w:cs="Arial"/>
          <w:b/>
        </w:rPr>
        <w:t xml:space="preserve"> Komun</w:t>
      </w:r>
      <w:r>
        <w:rPr>
          <w:rFonts w:ascii="Arial" w:hAnsi="Arial" w:cs="Arial"/>
          <w:b/>
        </w:rPr>
        <w:t>ë</w:t>
      </w:r>
      <w:r w:rsidRPr="008330A3">
        <w:rPr>
          <w:rFonts w:ascii="Arial" w:hAnsi="Arial" w:cs="Arial"/>
          <w:b/>
        </w:rPr>
        <w:t xml:space="preserve"> s</w:t>
      </w:r>
      <w:r>
        <w:rPr>
          <w:rFonts w:ascii="Arial" w:hAnsi="Arial" w:cs="Arial"/>
          <w:b/>
        </w:rPr>
        <w:t>ë</w:t>
      </w:r>
      <w:r w:rsidRPr="008330A3">
        <w:rPr>
          <w:rFonts w:ascii="Arial" w:hAnsi="Arial" w:cs="Arial"/>
          <w:b/>
        </w:rPr>
        <w:t xml:space="preserve"> Gjilanit Media et</w:t>
      </w:r>
      <w:r>
        <w:rPr>
          <w:rFonts w:ascii="Arial" w:hAnsi="Arial" w:cs="Arial"/>
          <w:b/>
        </w:rPr>
        <w:t>j</w:t>
      </w:r>
      <w:r w:rsidRPr="008330A3">
        <w:rPr>
          <w:rFonts w:ascii="Arial" w:hAnsi="Arial" w:cs="Arial"/>
          <w:b/>
        </w:rPr>
        <w:t>.</w:t>
      </w:r>
    </w:p>
    <w:p w:rsidR="00C71EC3" w:rsidRDefault="00C71EC3" w:rsidP="00C71EC3">
      <w:pPr>
        <w:spacing w:after="200" w:line="276" w:lineRule="auto"/>
        <w:contextualSpacing/>
        <w:jc w:val="both"/>
        <w:rPr>
          <w:rFonts w:ascii="Book Antiqua" w:hAnsi="Book Antiqua" w:cs="Arial"/>
        </w:rPr>
      </w:pPr>
      <w:r w:rsidRPr="00FA27DB">
        <w:rPr>
          <w:rFonts w:ascii="Book Antiqua" w:hAnsi="Book Antiqua" w:cs="Arial"/>
        </w:rPr>
        <w:t>Shpresa Kurteshi Emini – t</w:t>
      </w:r>
      <w:r>
        <w:rPr>
          <w:rFonts w:ascii="Book Antiqua" w:hAnsi="Book Antiqua" w:cs="Arial"/>
        </w:rPr>
        <w:t>ë</w:t>
      </w:r>
      <w:r w:rsidRPr="00FA27DB">
        <w:rPr>
          <w:rFonts w:ascii="Book Antiqua" w:hAnsi="Book Antiqua" w:cs="Arial"/>
        </w:rPr>
        <w:t xml:space="preserve"> nderuar t</w:t>
      </w:r>
      <w:r>
        <w:rPr>
          <w:rFonts w:ascii="Book Antiqua" w:hAnsi="Book Antiqua" w:cs="Arial"/>
        </w:rPr>
        <w:t>ë</w:t>
      </w:r>
      <w:r w:rsidRPr="00FA27DB">
        <w:rPr>
          <w:rFonts w:ascii="Book Antiqua" w:hAnsi="Book Antiqua" w:cs="Arial"/>
        </w:rPr>
        <w:t xml:space="preserve"> pranish</w:t>
      </w:r>
      <w:r>
        <w:rPr>
          <w:rFonts w:ascii="Book Antiqua" w:hAnsi="Book Antiqua" w:cs="Arial"/>
        </w:rPr>
        <w:t>ëm</w:t>
      </w:r>
      <w:r w:rsidRPr="00FA27DB">
        <w:rPr>
          <w:rFonts w:ascii="Book Antiqua" w:hAnsi="Book Antiqua" w:cs="Arial"/>
        </w:rPr>
        <w:t xml:space="preserve"> n</w:t>
      </w:r>
      <w:r>
        <w:rPr>
          <w:rFonts w:ascii="Book Antiqua" w:hAnsi="Book Antiqua" w:cs="Arial"/>
        </w:rPr>
        <w:t>ë</w:t>
      </w:r>
      <w:r w:rsidRPr="00FA27DB">
        <w:rPr>
          <w:rFonts w:ascii="Book Antiqua" w:hAnsi="Book Antiqua" w:cs="Arial"/>
        </w:rPr>
        <w:t xml:space="preserve"> k</w:t>
      </w:r>
      <w:r>
        <w:rPr>
          <w:rFonts w:ascii="Book Antiqua" w:hAnsi="Book Antiqua" w:cs="Arial"/>
        </w:rPr>
        <w:t>ë</w:t>
      </w:r>
      <w:r w:rsidRPr="00FA27DB">
        <w:rPr>
          <w:rFonts w:ascii="Book Antiqua" w:hAnsi="Book Antiqua" w:cs="Arial"/>
        </w:rPr>
        <w:t>t</w:t>
      </w:r>
      <w:r>
        <w:rPr>
          <w:rFonts w:ascii="Book Antiqua" w:hAnsi="Book Antiqua" w:cs="Arial"/>
        </w:rPr>
        <w:t>ë</w:t>
      </w:r>
      <w:r w:rsidRPr="00FA27DB">
        <w:rPr>
          <w:rFonts w:ascii="Book Antiqua" w:hAnsi="Book Antiqua" w:cs="Arial"/>
        </w:rPr>
        <w:t xml:space="preserve"> d</w:t>
      </w:r>
      <w:r>
        <w:rPr>
          <w:rFonts w:ascii="Book Antiqua" w:hAnsi="Book Antiqua" w:cs="Arial"/>
        </w:rPr>
        <w:t>ë</w:t>
      </w:r>
      <w:r w:rsidRPr="00FA27DB">
        <w:rPr>
          <w:rFonts w:ascii="Book Antiqua" w:hAnsi="Book Antiqua" w:cs="Arial"/>
        </w:rPr>
        <w:t>gjim publik</w:t>
      </w:r>
      <w:r>
        <w:rPr>
          <w:rFonts w:ascii="Book Antiqua" w:hAnsi="Book Antiqua" w:cs="Arial"/>
        </w:rPr>
        <w:t>ë</w:t>
      </w:r>
      <w:r w:rsidRPr="00FA27DB">
        <w:rPr>
          <w:rFonts w:ascii="Book Antiqua" w:hAnsi="Book Antiqua" w:cs="Arial"/>
        </w:rPr>
        <w:t xml:space="preserve"> ku tem</w:t>
      </w:r>
      <w:r>
        <w:rPr>
          <w:rFonts w:ascii="Book Antiqua" w:hAnsi="Book Antiqua" w:cs="Arial"/>
        </w:rPr>
        <w:t>ë</w:t>
      </w:r>
      <w:r w:rsidRPr="00FA27DB">
        <w:rPr>
          <w:rFonts w:ascii="Book Antiqua" w:hAnsi="Book Antiqua" w:cs="Arial"/>
        </w:rPr>
        <w:t xml:space="preserve"> diskutimi do t</w:t>
      </w:r>
      <w:r>
        <w:rPr>
          <w:rFonts w:ascii="Book Antiqua" w:hAnsi="Book Antiqua" w:cs="Arial"/>
        </w:rPr>
        <w:t>ë</w:t>
      </w:r>
      <w:r w:rsidRPr="00FA27DB">
        <w:rPr>
          <w:rFonts w:ascii="Book Antiqua" w:hAnsi="Book Antiqua" w:cs="Arial"/>
        </w:rPr>
        <w:t xml:space="preserve"> jet</w:t>
      </w:r>
      <w:r>
        <w:rPr>
          <w:rFonts w:ascii="Book Antiqua" w:hAnsi="Book Antiqua" w:cs="Arial"/>
        </w:rPr>
        <w:t>ë</w:t>
      </w:r>
      <w:r w:rsidRPr="00FA27DB">
        <w:rPr>
          <w:rFonts w:ascii="Book Antiqua" w:hAnsi="Book Antiqua" w:cs="Arial"/>
        </w:rPr>
        <w:t xml:space="preserve"> Korniza Afatmesme Buxhetore-(KAB), për vitin fiskal 2022 dhe vlerësimet e hershme për vitet 2023-2024. Para jush do t</w:t>
      </w:r>
      <w:r>
        <w:rPr>
          <w:rFonts w:ascii="Book Antiqua" w:hAnsi="Book Antiqua" w:cs="Arial"/>
        </w:rPr>
        <w:t>ë</w:t>
      </w:r>
      <w:r w:rsidRPr="00FA27DB">
        <w:rPr>
          <w:rFonts w:ascii="Book Antiqua" w:hAnsi="Book Antiqua" w:cs="Arial"/>
        </w:rPr>
        <w:t xml:space="preserve"> prezantohet planifikimi </w:t>
      </w:r>
      <w:r>
        <w:rPr>
          <w:rFonts w:ascii="Book Antiqua" w:hAnsi="Book Antiqua" w:cs="Arial"/>
        </w:rPr>
        <w:t>i komunës lidhur me këtë kornizë më pas do të ketë përgjigje për secilin interesim që vjen nga ana e juaj besoj se edhe ju do të jepni kontributin tuaj dhe anëtarët e kuvendit me sugjerime vërejtje e plotësime etj  para se ta marr miratimin kjo kornizë. Para jush një prezantim të shkurtër do ta bëj drejtoresha për Buxhet dhe Financa.</w:t>
      </w:r>
    </w:p>
    <w:p w:rsidR="00C71EC3" w:rsidRDefault="00C71EC3" w:rsidP="00C71EC3">
      <w:pPr>
        <w:spacing w:after="200" w:line="276" w:lineRule="auto"/>
        <w:contextualSpacing/>
        <w:jc w:val="both"/>
        <w:rPr>
          <w:rFonts w:ascii="Book Antiqua" w:hAnsi="Book Antiqua" w:cs="Arial"/>
        </w:rPr>
      </w:pPr>
      <w:r w:rsidRPr="00C24E88">
        <w:rPr>
          <w:rFonts w:ascii="Book Antiqua" w:hAnsi="Book Antiqua" w:cs="Arial"/>
          <w:b/>
        </w:rPr>
        <w:t>Meral Sadriu</w:t>
      </w:r>
      <w:r>
        <w:rPr>
          <w:rFonts w:ascii="Book Antiqua" w:hAnsi="Book Antiqua" w:cs="Arial"/>
        </w:rPr>
        <w:t xml:space="preserve"> të nderuar qytetarë drejtor Këshilltarë Komunal, para jush do të prezantoj Kornizën Afatmesme Buxhetore për vitin 2022, dhe vlerësimet e hershme për vitin 2023 -2024.</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Korniza afatmesme buxhetore është një para jush është një dokument i cili miratohet në parim çdo vit nga asambleja komunale. Ky material para sheh parametrat dhe potencialin që e ka komuna në zhvillimin e saj  gjithashtu KAB siguron mekanizmat e nevojshme përmes të cilës objektivat prioritetet të identifikuara në dokumente strategjike të komunës aty ku ekzistojnë të integrohen sa më mirë në procesin buxhetor. Ky  dokument do të jetë baza për caktimin e prioriteteve për zhvillim dhe identifikimin e proceseve për shpërndarje për periudhën 2022 -2024.</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Janë katër faza për zhvillimin e KAB-it dhe afatet kohore për realizim e që janë:</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 xml:space="preserve">Kufiri buxhetor të caktuara nga ana e MEF-it për vitet me radhë në vitin 2021 janë ta planifikuara 86161947€ nga grandi i shëndetësisë janë të parapara 3167054€, në grantin e </w:t>
      </w:r>
      <w:r>
        <w:rPr>
          <w:rFonts w:ascii="Book Antiqua" w:hAnsi="Book Antiqua" w:cs="Arial"/>
        </w:rPr>
        <w:lastRenderedPageBreak/>
        <w:t>arsimit 11501516€, nga të hyrat vetanake të planifikuara për vitin 2021 ja 4048034€ financimi i teatrove 100886€. Në total janë 27734737€ për vitin 2021.</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Për vitin 2022 grandi i përgjithshëm 9141191€, 3167054€ granti i shëndetësisë granti i arsimit 12195590€ të hyrat vetanake janë 4470054€ financimi i teatrove 101394€ në total 9075279€.</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Te planifikimi i më hershëm për vitin 2023 dhe 2024 te grandi i përgjithshëm për vitin 2023 e kemi 9551432€. Gjithashtu  planifikimi i hershëm për vitin 2024, 1018889€ granti i shëndetësisë është 3491677€ të hyrat vetanake 13445638€ financimi i teatrove  të hyrat vetanake 5007937€ financimi për shërbime esenciale 180.000€ në total 31961141€.</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Këta janë kufit buxhetor të caktuara nga Ministria e Financave.</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Planifikimi i të hyrave vetanaka realizimi për vitin 2020 i të hyrave vetanake nga të hyrat komunale direkt janë 2758089€ të hyrat indirekte 539076€ të hyrat komunale direkte dhe indirekte në total 3297166€ planifikimi për vitin 2021. Është 4004834€.</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Planifikimi për vitin 2022 nga të hyrat vetanake 4470054€  vlerësimi i hershëm për vitin 2023 është 4787645€ për vitin 2024 vlerësimi është 8079937€. Shpenzimet komunale në periudhën e ardhshme kanë tendencë në rritje si rezultat i shpenzimeve kapitale.</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 xml:space="preserve">Shpenzimet për vitin 2022 paga dhe mëditje të planifikuara 16235405€ mallra dhe shërbime do të ketë një rritje prej 2.14% 4537835€ këtu kemi një rritje prej 17% të totalit nga viti paraprak shpenzimet komunale 576800€ këtu kemi rënje nga viti paraprak prej 14.10%. </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Subvencionet për vitin 2022 i kemi 820.000€ të planifikuara kemi një rritje pre 3.6% si dhe shpenzimet kapitale 6605239€ me një rritje prej 5.12%</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 xml:space="preserve">Në vija të trasha para jush i keni kufijtë buxhetor </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Bardhyl Syla  unë kisha me u ndal te mallrat dhe shërbimet për vitin 2022 te zyra e Kryetarit është bërë zgjedhja e këshillave të fshatrave në vitin 2019 dhe është një vendim i Kuvendit dhe sipas informatave që i kam marr kryetarët e këshillave të fshatrave nuk janë paguar asnjëherë. Nuk e di ku është arsyeja e mos pagesës së kryetarëve të këshillave të fshatrave kur një vendim i Kuvendit ekziston dhe është udhëzimi i Ministrisë së Administrimit Lokal që e lejon një gjë të tillë. Kemi bazë ligjore dhe është obligim që ti paguajmë kryetarët e këshillave të fshatrave.</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Mimoza Kadriu – e përkrahi propozimin e Bardhylit sepse kam qenë edhe unë pjesë e komisionit në përzgjedhjen e këshillave të fshatrave dhe është e pa moralshme që mos të kompensohen kryetarët e këshillave të fshatrave sepse në çdo takim ju kemi thënë se do të ketë pagesë nëse ka mundësi që pagesa të bëhet për ketë vit dhe vitin tjetër gjithsesi.</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 xml:space="preserve">Gentrit Murseli – kam një pyetje te kategoria e subvencioneve dhe transfereve pjesëmarrja e shpenzimeve ne vitin 2022 është 2.82% për vitin 2023 është 2.69% për vitin 2024 2.57% kjo rënje e pjesëmarrjes nënkupton rritjen e buxhetit total dhe orientimin e </w:t>
      </w:r>
      <w:r>
        <w:rPr>
          <w:rFonts w:ascii="Book Antiqua" w:hAnsi="Book Antiqua" w:cs="Arial"/>
        </w:rPr>
        <w:lastRenderedPageBreak/>
        <w:t>mjeteve në projekte kapitale, nëse analizohet planifikimi për vitin 2022 për kategorinë Kulturë Rini dhe Sport te kjo drejtori subvencionet janë të planifikuara 150.000€ te kjo drejtori kisha me kërkua që subvencioni të jetë më i lartë .</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Meral Sadriu – sa i përket pagesës për kryetarët e këshillave të fshatrave unë këtë informacion nuk e kam pas e as vendimin nuk e kam parë edhe ne si drejtori do ta mbështesim këtë vendim dhe do ta shqyrtojmë mundësin e pagesës dhe do të parashihet edhe mundësia e pagesës për këshillat e fshatrave.</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Valbona Tahiri – sa i përket pyetjes së Gentritit do ti përgjigjem unë , sot zyrtari im ka shkuar për ta dorëzuar projektin në UNDP, Programi quhet Rillod 2 ne kemi kërkuar buxhet nga UNDP që të na ofroj buxhet për subvencionimin e OJQ-ve dhe organizatat e shoqërive civile për vitin 2022-2023, projekti i ka dy komponentët e para kërkohet mbështeta prej 53900€n dhe me 23% do të ketë participim komuna apo 18.000€, kështu që komuna do ti ketë në dispozicion mbi 70.000€ që do të jenë në dispozicion për 2 vite nga 35.000€ në financimin e OJQ-ve. Prioritetet tona janë që të aktivizohet rinia mbrojtja e ambientit dhe punë tjera.</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Kjo është arsyeja pse nuk ka buxhet më të lartë për vitin 2022 te drejtoria e Kulturës Rinisë dhe sportit.</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Nga UNDP parashihet edhe subvencionimin i punëtorëve apo puna praktike me pagesë që do të afrohet në të ardhmen. Projektet janë të përgatitura sipas standardeve të kërkuara po shpresojmë që komuna jonë të jetë përfituese.</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Skënder Bajrami Këshilli i fshatit Velekincë, do të kisha kërkuar nga ju që të jen me prioritet disa projekte që janë me prioritet për fshatin Velekincë:</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Kanalizimi të vazhdohet deri te fusha e Uglarit deri te impianti. Janë edhe disa pisha në atë pjesë që janë mbjella në vitin 1988 dhe kërkojmë që ajo pjesë të shndërrohet në park nacional dhe të jetë i mbrojtur.</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Gjithashtu për këtë vit t lagja e Lipovicëve dhe Vokshve të  jetë prioritet për këtë vit rregullimi i kanalizimit dhe ujësjellësit.</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Shpresa Kurteshi Emini të gjitha projektet që kanë nevojë për tu realizuar do ti sillni gjatë muajit korrik dhe gusht nga të gjitha lokalitetet do të shikohet prioriteti i tyre tani e kemi në diskutim KAB-in dhe bartjen e buxhetit nëpër drejtorit përkatës.</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 xml:space="preserve">Valbona Tahiri – sa për plotësim besoj se shumica edhe e din se nga viti i kaluar e deri më tani janë të liruara të gjitha bizneset nga taksat për shkak të pandemisë. Llogaritet diku 1.000.000.€ që të hyra nga bizneset nuk janë më në buxhetin e komunës </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Latifi Maliqi – në fshatin Malishevë kohëve të fundit po kemi shumë probleme me ujërat e zeza dhe pyetja ime është për drejtoreshën: deri ku ka arrit projekti për trajtimin e ujërave të zeza kërkoj nga autoritetet e komunës që mundësisht të pastrojnë lumin deri sa të filloj projekti i trajtimit të ujërave ta zeza.</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lastRenderedPageBreak/>
        <w:t>Sa i përket projekteve tjera që janë të arsyeshme për fshatin Malishevë do ti dorëzoj me shkrim.</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Ruzhdi Selimi- ka qenë një projekt për rregullimin e lumit “Morava” ajo nuk ka ndodh ky lum është ka mbyllet dhe është bërë lum kanalizimesh dhe rregullimi i disa rrugëve në atë lokalitet kërkoj një përgjigje prej drejtorit a ka diçka konkrete apo nuk ka?</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Valbona Tahiri projekti i impiantit për trajtimin e ujarëve të zeza është në proces, për momentin është krye elaborati i shpronësimit është dorëzua në ministri për vlerësim dhe jemi në pritje të përgjegjës nga ministria.</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Është në përgatitje e sipër dosja për shpalljen e tenderit për punë publike shpallja do te jetë ndërkombëtare sepse investitor është Banka Evropiane për Investime dhe BERZH. projekti i impiantit duhet të jetë i përfunduar në fund të vitit 2022 ose në fillim të vitit 2023.</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Sa i përket projektit të Lumit Morava fatkeqësia është se bordi i bankës botërore e ka miratua këtë projekt po nuk është ratifikua në Kuvendin e Republikës së Kosovës tash do të bëjmë trysni te kryeministri i ri që ta ratifikoj këtë marrëveshje ku do të rregullohet Lumi Morava nga Vitia deri në Kufi në Kamenicë.</w:t>
      </w:r>
    </w:p>
    <w:p w:rsidR="00C71EC3" w:rsidRDefault="00C71EC3" w:rsidP="00C71EC3">
      <w:pPr>
        <w:spacing w:after="200" w:line="276" w:lineRule="auto"/>
        <w:contextualSpacing/>
        <w:jc w:val="both"/>
        <w:rPr>
          <w:rFonts w:ascii="Book Antiqua" w:hAnsi="Book Antiqua" w:cs="Arial"/>
        </w:rPr>
      </w:pPr>
    </w:p>
    <w:p w:rsidR="00C71EC3" w:rsidRDefault="00C71EC3" w:rsidP="00C71EC3">
      <w:pPr>
        <w:spacing w:after="200" w:line="276" w:lineRule="auto"/>
        <w:contextualSpacing/>
        <w:jc w:val="both"/>
        <w:rPr>
          <w:rFonts w:ascii="Book Antiqua" w:hAnsi="Book Antiqua" w:cs="Arial"/>
        </w:rPr>
      </w:pPr>
      <w:r>
        <w:rPr>
          <w:rFonts w:ascii="Book Antiqua" w:hAnsi="Book Antiqua" w:cs="Arial"/>
        </w:rPr>
        <w:t xml:space="preserve">Procesmbajtësi </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Kryesuesja</w:t>
      </w:r>
    </w:p>
    <w:p w:rsidR="00C71EC3" w:rsidRDefault="00C71EC3" w:rsidP="00C71EC3">
      <w:pPr>
        <w:spacing w:after="200" w:line="276" w:lineRule="auto"/>
        <w:contextualSpacing/>
        <w:jc w:val="both"/>
        <w:rPr>
          <w:rFonts w:ascii="Book Antiqua" w:hAnsi="Book Antiqua" w:cs="Arial"/>
        </w:rPr>
      </w:pPr>
      <w:r>
        <w:rPr>
          <w:rFonts w:ascii="Book Antiqua" w:hAnsi="Book Antiqua" w:cs="Arial"/>
        </w:rPr>
        <w:t>Mejdi Rexhepi</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Shpresa Kurteshi Emini.</w:t>
      </w:r>
    </w:p>
    <w:p w:rsidR="001B0CF6" w:rsidRDefault="001B0CF6"/>
    <w:sectPr w:rsidR="001B0C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6E" w:rsidRDefault="00A5646E" w:rsidP="00C71EC3">
      <w:r>
        <w:separator/>
      </w:r>
    </w:p>
  </w:endnote>
  <w:endnote w:type="continuationSeparator" w:id="0">
    <w:p w:rsidR="00A5646E" w:rsidRDefault="00A5646E" w:rsidP="00C7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77879"/>
      <w:docPartObj>
        <w:docPartGallery w:val="Page Numbers (Bottom of Page)"/>
        <w:docPartUnique/>
      </w:docPartObj>
    </w:sdtPr>
    <w:sdtEndPr>
      <w:rPr>
        <w:noProof/>
      </w:rPr>
    </w:sdtEndPr>
    <w:sdtContent>
      <w:p w:rsidR="00C71EC3" w:rsidRDefault="00C71EC3">
        <w:pPr>
          <w:pStyle w:val="Footer"/>
          <w:jc w:val="right"/>
        </w:pPr>
        <w:r>
          <w:fldChar w:fldCharType="begin"/>
        </w:r>
        <w:r>
          <w:instrText xml:space="preserve"> PAGE   \* MERGEFORMAT </w:instrText>
        </w:r>
        <w:r>
          <w:fldChar w:fldCharType="separate"/>
        </w:r>
        <w:r w:rsidR="0012445D">
          <w:rPr>
            <w:noProof/>
          </w:rPr>
          <w:t>3</w:t>
        </w:r>
        <w:r>
          <w:rPr>
            <w:noProof/>
          </w:rPr>
          <w:fldChar w:fldCharType="end"/>
        </w:r>
      </w:p>
    </w:sdtContent>
  </w:sdt>
  <w:p w:rsidR="00C71EC3" w:rsidRDefault="00C7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6E" w:rsidRDefault="00A5646E" w:rsidP="00C71EC3">
      <w:r>
        <w:separator/>
      </w:r>
    </w:p>
  </w:footnote>
  <w:footnote w:type="continuationSeparator" w:id="0">
    <w:p w:rsidR="00A5646E" w:rsidRDefault="00A5646E" w:rsidP="00C7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C3"/>
    <w:rsid w:val="000802DE"/>
    <w:rsid w:val="0012445D"/>
    <w:rsid w:val="001B0CF6"/>
    <w:rsid w:val="00A54253"/>
    <w:rsid w:val="00A5646E"/>
    <w:rsid w:val="00BA673F"/>
    <w:rsid w:val="00BE42D1"/>
    <w:rsid w:val="00C71EC3"/>
    <w:rsid w:val="00D8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C440"/>
  <w15:chartTrackingRefBased/>
  <w15:docId w15:val="{83E21167-DA50-4876-AFF8-5A83CA1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C3"/>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
    <w:unhideWhenUsed/>
    <w:qFormat/>
    <w:rsid w:val="00C71EC3"/>
    <w:pPr>
      <w:keepNext/>
      <w:keepLines/>
      <w:spacing w:before="40" w:line="276"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qFormat/>
    <w:rsid w:val="00C71EC3"/>
    <w:rPr>
      <w:rFonts w:asciiTheme="majorHAnsi" w:eastAsiaTheme="majorEastAsia" w:hAnsiTheme="majorHAnsi" w:cstheme="majorBidi"/>
      <w:color w:val="1F4D78" w:themeColor="accent1" w:themeShade="7F"/>
      <w:lang w:val="sq-AL"/>
    </w:rPr>
  </w:style>
  <w:style w:type="paragraph" w:styleId="Header">
    <w:name w:val="header"/>
    <w:basedOn w:val="Normal"/>
    <w:link w:val="HeaderChar"/>
    <w:uiPriority w:val="99"/>
    <w:unhideWhenUsed/>
    <w:rsid w:val="00C71EC3"/>
    <w:pPr>
      <w:tabs>
        <w:tab w:val="center" w:pos="4680"/>
        <w:tab w:val="right" w:pos="9360"/>
      </w:tabs>
    </w:pPr>
  </w:style>
  <w:style w:type="character" w:customStyle="1" w:styleId="HeaderChar">
    <w:name w:val="Header Char"/>
    <w:basedOn w:val="DefaultParagraphFont"/>
    <w:link w:val="Header"/>
    <w:uiPriority w:val="99"/>
    <w:rsid w:val="00C71EC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71EC3"/>
    <w:pPr>
      <w:tabs>
        <w:tab w:val="center" w:pos="4680"/>
        <w:tab w:val="right" w:pos="9360"/>
      </w:tabs>
    </w:pPr>
  </w:style>
  <w:style w:type="character" w:customStyle="1" w:styleId="FooterChar">
    <w:name w:val="Footer Char"/>
    <w:basedOn w:val="DefaultParagraphFont"/>
    <w:link w:val="Footer"/>
    <w:uiPriority w:val="99"/>
    <w:rsid w:val="00C71EC3"/>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Mejdi Rexhepi</dc:creator>
  <cp:keywords/>
  <dc:description/>
  <cp:lastModifiedBy>Ilmi Musliu</cp:lastModifiedBy>
  <cp:revision>4</cp:revision>
  <dcterms:created xsi:type="dcterms:W3CDTF">2021-07-05T09:49:00Z</dcterms:created>
  <dcterms:modified xsi:type="dcterms:W3CDTF">2021-07-05T10:00:00Z</dcterms:modified>
</cp:coreProperties>
</file>