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</w:rPr>
      </w:pPr>
      <w:r w:rsidRPr="00601DE2">
        <w:rPr>
          <w:rFonts w:ascii="Book Antiqua" w:eastAsia="MS Mincho" w:hAnsi="Book Antiqua" w:cs="Times New Roman"/>
        </w:rPr>
        <w:br/>
      </w: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</w:rPr>
      </w:pP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</w:rPr>
      </w:pPr>
      <w:r w:rsidRPr="00601DE2">
        <w:rPr>
          <w:rFonts w:ascii="Book Antiqua" w:eastAsia="MS Mincho" w:hAnsi="Book Antiqua" w:cs="Times New Roman"/>
        </w:rPr>
        <w:t xml:space="preserve">       </w:t>
      </w:r>
      <w:r w:rsidRPr="00601DE2">
        <w:rPr>
          <w:rFonts w:ascii="Book Antiqua" w:eastAsia="MS Mincho" w:hAnsi="Book Antiqua" w:cs="Times New Roman"/>
          <w:noProof/>
          <w:lang w:val="en-US"/>
        </w:rPr>
        <w:drawing>
          <wp:inline distT="0" distB="0" distL="0" distR="0">
            <wp:extent cx="914400" cy="1049655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E2">
        <w:rPr>
          <w:rFonts w:ascii="Book Antiqua" w:eastAsia="MS Mincho" w:hAnsi="Book Antiqua" w:cs="Times New Roman"/>
        </w:rPr>
        <w:t xml:space="preserve">                                                                                                                            </w:t>
      </w:r>
      <w:r w:rsidRPr="00601DE2">
        <w:rPr>
          <w:rFonts w:ascii="Book Antiqua" w:eastAsia="MS Mincho" w:hAnsi="Book Antiqua" w:cs="Times New Roman"/>
          <w:noProof/>
          <w:lang w:val="en-US"/>
        </w:rPr>
        <w:drawing>
          <wp:inline distT="0" distB="0" distL="0" distR="0">
            <wp:extent cx="856615" cy="1030605"/>
            <wp:effectExtent l="0" t="0" r="63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</w:rPr>
      </w:pP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  <w:b/>
          <w:sz w:val="24"/>
          <w:szCs w:val="24"/>
        </w:rPr>
      </w:pPr>
      <w:r w:rsidRPr="00601DE2">
        <w:rPr>
          <w:rFonts w:ascii="Book Antiqua" w:eastAsia="MS Mincho" w:hAnsi="Book Antiqua" w:cs="Times New Roman"/>
          <w:b/>
          <w:sz w:val="24"/>
          <w:szCs w:val="24"/>
        </w:rPr>
        <w:t>Republika e Kosovës                                                                                                     Komuna e Gjilanit</w:t>
      </w: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  <w:b/>
          <w:sz w:val="24"/>
          <w:szCs w:val="24"/>
        </w:rPr>
      </w:pPr>
      <w:r w:rsidRPr="00601DE2">
        <w:rPr>
          <w:rFonts w:ascii="Book Antiqua" w:eastAsia="MS Mincho" w:hAnsi="Book Antiqua" w:cs="Times New Roman"/>
          <w:b/>
          <w:sz w:val="24"/>
          <w:szCs w:val="24"/>
        </w:rPr>
        <w:t>Republika Kosova                                                                                                          Opština Gnjilane</w:t>
      </w: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  <w:b/>
          <w:sz w:val="24"/>
          <w:szCs w:val="24"/>
        </w:rPr>
      </w:pPr>
      <w:r w:rsidRPr="00601DE2">
        <w:rPr>
          <w:rFonts w:ascii="Book Antiqua" w:eastAsia="MS Mincho" w:hAnsi="Book Antiqua" w:cs="Times New Roman"/>
          <w:b/>
          <w:sz w:val="24"/>
          <w:szCs w:val="24"/>
        </w:rPr>
        <w:t>Republic of Kosovo                                                                                                        Municipal Gjilan</w:t>
      </w:r>
    </w:p>
    <w:p w:rsidR="00601DE2" w:rsidRPr="00601DE2" w:rsidRDefault="00601DE2" w:rsidP="00601DE2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sz w:val="24"/>
          <w:szCs w:val="24"/>
        </w:rPr>
      </w:pPr>
      <w:r w:rsidRPr="00601DE2">
        <w:rPr>
          <w:rFonts w:ascii="Book Antiqua" w:eastAsia="MS Mincho" w:hAnsi="Book Antiqua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Gilan Belediyesi  </w:t>
      </w:r>
    </w:p>
    <w:p w:rsidR="00601DE2" w:rsidRPr="00601DE2" w:rsidRDefault="00601DE2" w:rsidP="00601DE2">
      <w:pPr>
        <w:pBdr>
          <w:bottom w:val="single" w:sz="12" w:space="1" w:color="auto"/>
        </w:pBdr>
        <w:spacing w:after="0" w:line="240" w:lineRule="auto"/>
        <w:rPr>
          <w:rFonts w:ascii="Book Antiqua" w:eastAsia="MS Mincho" w:hAnsi="Book Antiqua" w:cs="Times New Roman"/>
          <w:b/>
          <w:sz w:val="24"/>
          <w:szCs w:val="24"/>
        </w:rPr>
      </w:pPr>
    </w:p>
    <w:p w:rsidR="00601DE2" w:rsidRPr="00601DE2" w:rsidRDefault="00601DE2" w:rsidP="00601DE2">
      <w:pPr>
        <w:spacing w:after="0" w:line="240" w:lineRule="auto"/>
        <w:rPr>
          <w:rFonts w:ascii="Book Antiqua" w:eastAsia="MS Mincho" w:hAnsi="Book Antiqua" w:cs="Times New Roman"/>
          <w:sz w:val="24"/>
          <w:szCs w:val="24"/>
        </w:rPr>
      </w:pPr>
      <w:r w:rsidRPr="00601DE2">
        <w:rPr>
          <w:rFonts w:ascii="Book Antiqua" w:eastAsia="MS Mincho" w:hAnsi="Book Antiqua" w:cs="Times New Roman"/>
          <w:sz w:val="24"/>
          <w:szCs w:val="24"/>
        </w:rPr>
        <w:t xml:space="preserve"> </w:t>
      </w:r>
    </w:p>
    <w:p w:rsidR="00601DE2" w:rsidRPr="00601DE2" w:rsidRDefault="00601DE2" w:rsidP="00601D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1DE2">
        <w:rPr>
          <w:rFonts w:ascii="Times New Roman" w:eastAsia="MS Mincho" w:hAnsi="Times New Roman" w:cs="Times New Roman"/>
          <w:sz w:val="24"/>
          <w:szCs w:val="24"/>
        </w:rPr>
        <w:t>Në bazë të nenit</w:t>
      </w:r>
      <w:r w:rsidR="00366E50">
        <w:rPr>
          <w:rFonts w:ascii="Times New Roman" w:eastAsia="MS Mincho" w:hAnsi="Times New Roman" w:cs="Times New Roman"/>
          <w:sz w:val="24"/>
          <w:szCs w:val="24"/>
        </w:rPr>
        <w:t xml:space="preserve"> 12, paragrafi 12.2, shkronja (c</w:t>
      </w:r>
      <w:r w:rsidRPr="00601DE2">
        <w:rPr>
          <w:rFonts w:ascii="Times New Roman" w:eastAsia="MS Mincho" w:hAnsi="Times New Roman" w:cs="Times New Roman"/>
          <w:sz w:val="24"/>
          <w:szCs w:val="24"/>
        </w:rPr>
        <w:t>), të Ligjit nr. 03/L-040 për Vetëqeverisje Lokale të Kosovës (Gazeta zyrtare e Republikës së Kosovës” nr. 28/04 qershor 2008), nenit 53, të Ligjit Nr. 05/L-031 për Procedurën e Përgjithshme Administrative (“Gazeta zyrtare e Republikës së Kosovës” nr. 20/21 qershor 2016), nenit 37 paragrafi 1, pika 1.5 dh</w:t>
      </w:r>
      <w:r w:rsidR="00366E50">
        <w:rPr>
          <w:rFonts w:ascii="Times New Roman" w:eastAsia="MS Mincho" w:hAnsi="Times New Roman" w:cs="Times New Roman"/>
          <w:sz w:val="24"/>
          <w:szCs w:val="24"/>
        </w:rPr>
        <w:t>e nenit 38 paragrafi 1, pika 1.3</w:t>
      </w:r>
      <w:r w:rsidRPr="00601DE2">
        <w:rPr>
          <w:rFonts w:ascii="Times New Roman" w:eastAsia="MS Mincho" w:hAnsi="Times New Roman" w:cs="Times New Roman"/>
          <w:sz w:val="24"/>
          <w:szCs w:val="24"/>
        </w:rPr>
        <w:t xml:space="preserve"> të Statutit të Komunës së Gjilanit (01. nr. 016-126211 të datës 06.11.2014 me Ndryshimet dhe Plotësimet e Statutit 01. nr. 016-28448 të datë 22.03.2018), pas shqyrtimit të propozimit të Kryetarit të Komunës dhe kërkesës së MAPL-së nr. 463-539/3     të datës 19.08.2020, Kuvendi i Komunës së Gjilanit, në sea</w:t>
      </w:r>
      <w:r w:rsidR="00D158A6">
        <w:rPr>
          <w:rFonts w:ascii="Times New Roman" w:eastAsia="MS Mincho" w:hAnsi="Times New Roman" w:cs="Times New Roman"/>
          <w:sz w:val="24"/>
          <w:szCs w:val="24"/>
        </w:rPr>
        <w:t>ncën e mbajtur më datën: 31.03.</w:t>
      </w:r>
      <w:r w:rsidRPr="00601DE2">
        <w:rPr>
          <w:rFonts w:ascii="Times New Roman" w:eastAsia="MS Mincho" w:hAnsi="Times New Roman" w:cs="Times New Roman"/>
          <w:sz w:val="24"/>
          <w:szCs w:val="24"/>
        </w:rPr>
        <w:t>2022, miraton këtë:</w:t>
      </w:r>
    </w:p>
    <w:p w:rsidR="00601DE2" w:rsidRPr="00601DE2" w:rsidRDefault="00601DE2" w:rsidP="00601D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01DE2" w:rsidRPr="00601DE2" w:rsidRDefault="00366E50" w:rsidP="00601D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RREGULLORE</w:t>
      </w:r>
    </w:p>
    <w:p w:rsidR="00601DE2" w:rsidRPr="00601DE2" w:rsidRDefault="00601DE2" w:rsidP="00601D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01DE2">
        <w:rPr>
          <w:rFonts w:ascii="Times New Roman" w:eastAsia="MS Mincho" w:hAnsi="Times New Roman" w:cs="Times New Roman"/>
          <w:b/>
          <w:sz w:val="24"/>
          <w:szCs w:val="24"/>
        </w:rPr>
        <w:t xml:space="preserve">PËR SHFUQIZIMIN E RREGULLORËS </w:t>
      </w:r>
      <w:r w:rsidRPr="00601DE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PËR PROCEDURËN E NDËRTIMIT TË OBJEKTEVE ME KARAK</w:t>
      </w:r>
      <w:r w:rsidR="008E365D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TER TË PËRKOHSHEM NË PRONAT E PERSONAVE FIZIK DHE JURIDIK </w:t>
      </w:r>
      <w:r w:rsidRPr="00601DE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(KGJ) NR. 3/2020</w:t>
      </w:r>
    </w:p>
    <w:p w:rsidR="00601DE2" w:rsidRPr="00601DE2" w:rsidRDefault="00601DE2" w:rsidP="00601D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601DE2" w:rsidRPr="00601DE2" w:rsidRDefault="00601DE2" w:rsidP="00257B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1DE2" w:rsidRDefault="00601DE2" w:rsidP="00257B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</w:pPr>
      <w:r w:rsidRPr="00257BF5"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  <w:t>SHFUQIZOHET, Rregullorja e Kuvendi</w:t>
      </w:r>
      <w:r w:rsidR="008E365D" w:rsidRPr="00257BF5"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  <w:t>t të Komunës  01. Nr. 016-60452</w:t>
      </w:r>
      <w:r w:rsidRPr="00257BF5"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  <w:t xml:space="preserve"> e datës 24.07.2020</w:t>
      </w:r>
      <w:r w:rsidR="008E365D" w:rsidRPr="00257BF5"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  <w:t>,</w:t>
      </w:r>
      <w:r w:rsidRPr="00257BF5"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  <w:t xml:space="preserve"> për procedurën e ndërtimit të objekteve me karakter të përkohshëm në pronat e personave fizik dhe juridik (KGJ) Nr. 3/2020.</w:t>
      </w:r>
    </w:p>
    <w:p w:rsidR="00257BF5" w:rsidRDefault="00257BF5" w:rsidP="00257BF5">
      <w:pPr>
        <w:pStyle w:val="ListParagraph"/>
        <w:spacing w:after="0" w:line="276" w:lineRule="auto"/>
        <w:jc w:val="both"/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</w:pPr>
    </w:p>
    <w:p w:rsidR="00601DE2" w:rsidRPr="00257BF5" w:rsidRDefault="004D6F9D" w:rsidP="00257B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sz w:val="24"/>
          <w:szCs w:val="24"/>
        </w:rPr>
        <w:t>Për zbatimin e kësaj R</w:t>
      </w:r>
      <w:r w:rsidR="00366E50">
        <w:rPr>
          <w:rFonts w:ascii="Times New Roman" w:eastAsia="MS Mincho" w:hAnsi="Times New Roman" w:cs="Times New Roman"/>
          <w:sz w:val="24"/>
          <w:szCs w:val="24"/>
        </w:rPr>
        <w:t>regullore</w:t>
      </w:r>
      <w:r w:rsidR="00601DE2" w:rsidRPr="00257BF5">
        <w:rPr>
          <w:rFonts w:ascii="Times New Roman" w:eastAsia="MS Mincho" w:hAnsi="Times New Roman" w:cs="Times New Roman"/>
          <w:sz w:val="24"/>
          <w:szCs w:val="24"/>
        </w:rPr>
        <w:t xml:space="preserve"> kujdesen: Kryetari i Komunës dhe Drejtoria për Urbanizëm, Planifikim dhe Mbrojtje të Mjedisit.</w:t>
      </w:r>
    </w:p>
    <w:p w:rsidR="00257BF5" w:rsidRPr="00257BF5" w:rsidRDefault="00257BF5" w:rsidP="00257BF5">
      <w:pPr>
        <w:pStyle w:val="ListParagraph"/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</w:pPr>
    </w:p>
    <w:p w:rsidR="00601DE2" w:rsidRPr="00257BF5" w:rsidRDefault="004D6F9D" w:rsidP="00601DE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pacing w:val="9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Ky R</w:t>
      </w:r>
      <w:bookmarkStart w:id="0" w:name="_GoBack"/>
      <w:bookmarkEnd w:id="0"/>
      <w:r w:rsidR="00366E50">
        <w:rPr>
          <w:rFonts w:ascii="Times New Roman" w:eastAsia="Calibri" w:hAnsi="Times New Roman" w:cs="Times New Roman"/>
          <w:sz w:val="24"/>
          <w:szCs w:val="24"/>
        </w:rPr>
        <w:t>regullore</w:t>
      </w:r>
      <w:r w:rsidR="00601DE2" w:rsidRPr="00257BF5">
        <w:rPr>
          <w:rFonts w:ascii="Times New Roman" w:eastAsia="Calibri" w:hAnsi="Times New Roman" w:cs="Times New Roman"/>
          <w:sz w:val="24"/>
          <w:szCs w:val="24"/>
        </w:rPr>
        <w:t xml:space="preserve"> hyn në fuqi 15 ditë pas regjistrimit në Zyrën e protokollit të Ministrisë së Administrimit të Pushtetit Lokal, si dhe </w:t>
      </w:r>
      <w:r w:rsidR="008E365D" w:rsidRPr="00257BF5">
        <w:rPr>
          <w:rFonts w:ascii="Times New Roman" w:eastAsia="Calibri" w:hAnsi="Times New Roman" w:cs="Times New Roman"/>
          <w:sz w:val="24"/>
          <w:szCs w:val="24"/>
        </w:rPr>
        <w:t>publikimit në gjuhë zyrtare në w</w:t>
      </w:r>
      <w:r w:rsidR="00601DE2" w:rsidRPr="00257BF5">
        <w:rPr>
          <w:rFonts w:ascii="Times New Roman" w:eastAsia="Calibri" w:hAnsi="Times New Roman" w:cs="Times New Roman"/>
          <w:sz w:val="24"/>
          <w:szCs w:val="24"/>
        </w:rPr>
        <w:t>eb-faqen e Komunës.</w:t>
      </w:r>
    </w:p>
    <w:p w:rsidR="00601DE2" w:rsidRPr="00601DE2" w:rsidRDefault="00601DE2" w:rsidP="00601D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257BF5">
        <w:rPr>
          <w:rFonts w:ascii="Arial" w:eastAsia="Times New Roman" w:hAnsi="Arial" w:cs="Arial"/>
          <w:sz w:val="24"/>
          <w:szCs w:val="24"/>
        </w:rPr>
        <w:t>01.Nr</w:t>
      </w:r>
      <w:r w:rsidRPr="00257BF5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Cs/>
          <w:u w:val="single"/>
        </w:rPr>
        <w:t>016-35199</w:t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  <w:t xml:space="preserve">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257BF5">
        <w:rPr>
          <w:rFonts w:ascii="Arial" w:eastAsia="Times New Roman" w:hAnsi="Arial" w:cs="Arial"/>
          <w:sz w:val="24"/>
          <w:szCs w:val="24"/>
        </w:rPr>
        <w:t>Kryesuesi i KK-Gjilan,</w:t>
      </w: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Gjilan, më 31.03.</w:t>
      </w:r>
      <w:r w:rsidRPr="00257BF5">
        <w:rPr>
          <w:rFonts w:ascii="Arial" w:eastAsia="Times New Roman" w:hAnsi="Arial" w:cs="Arial"/>
          <w:sz w:val="24"/>
          <w:szCs w:val="24"/>
        </w:rPr>
        <w:t>2022</w:t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  <w:t xml:space="preserve">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257BF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257BF5">
        <w:rPr>
          <w:rFonts w:ascii="Arial" w:eastAsia="Times New Roman" w:hAnsi="Arial" w:cs="Arial"/>
          <w:sz w:val="24"/>
          <w:szCs w:val="24"/>
        </w:rPr>
        <w:t xml:space="preserve">  __________________</w:t>
      </w:r>
      <w:r w:rsidRPr="00257BF5">
        <w:rPr>
          <w:rFonts w:ascii="Arial" w:eastAsia="Times New Roman" w:hAnsi="Arial" w:cs="Arial"/>
          <w:sz w:val="24"/>
          <w:szCs w:val="24"/>
        </w:rPr>
        <w:tab/>
      </w: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</w:r>
      <w:r w:rsidRPr="00257BF5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257BF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57BF5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57BF5">
        <w:rPr>
          <w:rFonts w:ascii="Arial" w:eastAsia="Times New Roman" w:hAnsi="Arial" w:cs="Arial"/>
          <w:sz w:val="24"/>
          <w:szCs w:val="24"/>
        </w:rPr>
        <w:t xml:space="preserve">    /Arianit Sadiku/</w:t>
      </w:r>
    </w:p>
    <w:p w:rsidR="00257BF5" w:rsidRPr="00257BF5" w:rsidRDefault="00257BF5" w:rsidP="00257B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DE2" w:rsidRPr="00601DE2" w:rsidRDefault="00601DE2" w:rsidP="00601D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601DE2" w:rsidRPr="00601DE2" w:rsidSect="00C6258D">
      <w:footerReference w:type="even" r:id="rId9"/>
      <w:footerReference w:type="default" r:id="rId10"/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C4" w:rsidRDefault="002E67C4" w:rsidP="00601DE2">
      <w:pPr>
        <w:spacing w:after="0" w:line="240" w:lineRule="auto"/>
      </w:pPr>
      <w:r>
        <w:separator/>
      </w:r>
    </w:p>
  </w:endnote>
  <w:endnote w:type="continuationSeparator" w:id="0">
    <w:p w:rsidR="002E67C4" w:rsidRDefault="002E67C4" w:rsidP="0060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E1" w:rsidRDefault="00A5125D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1FE1" w:rsidRDefault="002E67C4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E1" w:rsidRDefault="002E67C4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C4" w:rsidRDefault="002E67C4" w:rsidP="00601DE2">
      <w:pPr>
        <w:spacing w:after="0" w:line="240" w:lineRule="auto"/>
      </w:pPr>
      <w:r>
        <w:separator/>
      </w:r>
    </w:p>
  </w:footnote>
  <w:footnote w:type="continuationSeparator" w:id="0">
    <w:p w:rsidR="002E67C4" w:rsidRDefault="002E67C4" w:rsidP="0060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B2E"/>
    <w:multiLevelType w:val="hybridMultilevel"/>
    <w:tmpl w:val="13BC5E0C"/>
    <w:lvl w:ilvl="0" w:tplc="567AFBF2">
      <w:start w:val="1"/>
      <w:numFmt w:val="decimalZero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A736B14"/>
    <w:multiLevelType w:val="hybridMultilevel"/>
    <w:tmpl w:val="BEF40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D83"/>
    <w:multiLevelType w:val="hybridMultilevel"/>
    <w:tmpl w:val="9F308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E2"/>
    <w:rsid w:val="00161B1E"/>
    <w:rsid w:val="001D472E"/>
    <w:rsid w:val="00257BF5"/>
    <w:rsid w:val="002E67C4"/>
    <w:rsid w:val="00366E50"/>
    <w:rsid w:val="004D6F9D"/>
    <w:rsid w:val="004F1298"/>
    <w:rsid w:val="005645A1"/>
    <w:rsid w:val="00601DE2"/>
    <w:rsid w:val="00861916"/>
    <w:rsid w:val="008E365D"/>
    <w:rsid w:val="00970785"/>
    <w:rsid w:val="00A5125D"/>
    <w:rsid w:val="00D158A6"/>
    <w:rsid w:val="00EF36CE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1CA5"/>
  <w15:chartTrackingRefBased/>
  <w15:docId w15:val="{42A7C5A6-CD24-4CEB-AB42-622DF1BE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E2"/>
  </w:style>
  <w:style w:type="paragraph" w:styleId="Footer">
    <w:name w:val="footer"/>
    <w:basedOn w:val="Normal"/>
    <w:link w:val="FooterChar"/>
    <w:uiPriority w:val="99"/>
    <w:unhideWhenUsed/>
    <w:rsid w:val="0060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E2"/>
  </w:style>
  <w:style w:type="character" w:styleId="PageNumber">
    <w:name w:val="page number"/>
    <w:basedOn w:val="DefaultParagraphFont"/>
    <w:rsid w:val="00601DE2"/>
  </w:style>
  <w:style w:type="paragraph" w:styleId="ListParagraph">
    <w:name w:val="List Paragraph"/>
    <w:basedOn w:val="Normal"/>
    <w:uiPriority w:val="34"/>
    <w:qFormat/>
    <w:rsid w:val="00257B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Sahadete Sadiku</dc:creator>
  <cp:keywords/>
  <dc:description/>
  <cp:lastModifiedBy>Sadri Arifi</cp:lastModifiedBy>
  <cp:revision>7</cp:revision>
  <dcterms:created xsi:type="dcterms:W3CDTF">2022-03-23T08:12:00Z</dcterms:created>
  <dcterms:modified xsi:type="dcterms:W3CDTF">2022-04-13T07:28:00Z</dcterms:modified>
</cp:coreProperties>
</file>