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0F" w:rsidRPr="008E7ED6" w:rsidRDefault="0033140F" w:rsidP="00287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Arial" w:hAnsi="Times New Roman" w:cs="Times New Roman"/>
          <w:color w:val="000000"/>
        </w:rPr>
      </w:pPr>
    </w:p>
    <w:tbl>
      <w:tblPr>
        <w:tblStyle w:val="a"/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33140F" w:rsidRPr="008E7ED6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33140F" w:rsidRPr="008E7ED6" w:rsidRDefault="00095763" w:rsidP="002870A3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bookmarkStart w:id="0" w:name="_heading=h.gjdgxs" w:colFirst="0" w:colLast="0"/>
            <w:bookmarkEnd w:id="0"/>
            <w:r w:rsidRPr="008E7ED6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drawing>
                <wp:inline distT="0" distB="0" distL="0" distR="0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33140F" w:rsidRPr="008E7ED6" w:rsidRDefault="00095763" w:rsidP="002870A3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REPUBLIKA E KOSOVËS</w:t>
            </w:r>
          </w:p>
          <w:p w:rsidR="0033140F" w:rsidRPr="008E7ED6" w:rsidRDefault="00095763" w:rsidP="002870A3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  <w:t>REPUBLIKA KOSOVA/REPUBLIC OF KOSOVA</w:t>
            </w:r>
          </w:p>
          <w:p w:rsidR="0033140F" w:rsidRPr="008E7ED6" w:rsidRDefault="00095763" w:rsidP="002870A3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KOMUNA E GJILANIT</w:t>
            </w:r>
          </w:p>
          <w:p w:rsidR="0033140F" w:rsidRPr="008E7ED6" w:rsidRDefault="00095763" w:rsidP="002870A3">
            <w:pPr>
              <w:spacing w:after="0"/>
              <w:ind w:left="270" w:right="-180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</w:pPr>
            <w:r w:rsidRPr="008E7ED6"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  <w:t>OPŠTINA GNJILANE/MUNICIPAL GJILAN/GILAN  BELEDIYESI</w:t>
            </w:r>
          </w:p>
          <w:p w:rsidR="0033140F" w:rsidRPr="008E7ED6" w:rsidRDefault="0033140F" w:rsidP="002870A3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33140F" w:rsidRPr="008E7ED6" w:rsidRDefault="00095763" w:rsidP="002870A3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8E7ED6">
              <w:rPr>
                <w:rFonts w:ascii="Times New Roman" w:eastAsia="Book Antiqua" w:hAnsi="Times New Roman" w:cs="Times New Roman"/>
                <w:color w:val="000000"/>
              </w:rPr>
              <w:drawing>
                <wp:inline distT="0" distB="0" distL="0" distR="0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3140F" w:rsidRPr="008E7ED6" w:rsidRDefault="0033140F" w:rsidP="002870A3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</w:tr>
    </w:tbl>
    <w:p w:rsidR="0033140F" w:rsidRPr="008E7ED6" w:rsidRDefault="0033140F" w:rsidP="002870A3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3140F" w:rsidRPr="008E7ED6" w:rsidRDefault="0033140F" w:rsidP="002870A3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3140F" w:rsidRPr="008E7ED6" w:rsidRDefault="00095763" w:rsidP="002870A3">
      <w:pPr>
        <w:keepNext/>
        <w:ind w:left="270" w:right="-180"/>
        <w:rPr>
          <w:rFonts w:ascii="Times New Roman" w:eastAsia="Book Antiqua" w:hAnsi="Times New Roman" w:cs="Times New Roman"/>
          <w:b/>
          <w:color w:val="000000"/>
          <w:sz w:val="32"/>
          <w:szCs w:val="32"/>
        </w:rPr>
      </w:pPr>
      <w:r w:rsidRPr="008E7ED6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33140F" w:rsidRPr="008E7ED6" w:rsidRDefault="00095763" w:rsidP="002870A3">
      <w:pPr>
        <w:ind w:left="270" w:right="-180"/>
        <w:rPr>
          <w:rFonts w:ascii="Times New Roman" w:hAnsi="Times New Roman" w:cs="Times New Roman"/>
          <w:color w:val="000000"/>
        </w:rPr>
      </w:pPr>
      <w:r w:rsidRPr="008E7ED6">
        <w:rPr>
          <w:rFonts w:ascii="Times New Roman" w:hAnsi="Times New Roman" w:cs="Times New Roman"/>
          <w:color w:val="000000"/>
        </w:rPr>
        <w:t xml:space="preserve">         </w:t>
      </w:r>
    </w:p>
    <w:p w:rsidR="0033140F" w:rsidRPr="008E7ED6" w:rsidRDefault="00095763" w:rsidP="002870A3">
      <w:pPr>
        <w:ind w:left="270" w:right="-180"/>
        <w:rPr>
          <w:rFonts w:ascii="Times New Roman" w:hAnsi="Times New Roman" w:cs="Times New Roman"/>
          <w:color w:val="000000"/>
          <w:sz w:val="40"/>
          <w:szCs w:val="40"/>
          <w:highlight w:val="red"/>
        </w:rPr>
      </w:pPr>
      <w:r w:rsidRPr="008E7ED6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      </w:t>
      </w:r>
    </w:p>
    <w:p w:rsidR="0033140F" w:rsidRPr="008E7ED6" w:rsidRDefault="0033140F" w:rsidP="009124E8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140F" w:rsidRPr="008E7ED6" w:rsidRDefault="00095763" w:rsidP="00E860C6">
      <w:pPr>
        <w:ind w:left="-90" w:right="-27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8E7ED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RAPORTI  I PUNËS SË DREJTORISË KOMUNALE TË ARSIMIT</w:t>
      </w:r>
    </w:p>
    <w:p w:rsidR="0033140F" w:rsidRPr="008E7ED6" w:rsidRDefault="00B95D4D" w:rsidP="00E860C6">
      <w:pPr>
        <w:ind w:left="-90" w:right="-27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8E7ED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(për </w:t>
      </w:r>
      <w:r w:rsidR="00095763" w:rsidRPr="008E7ED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peri</w:t>
      </w:r>
      <w:r w:rsidRPr="008E7ED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udhën raportuese gjashtëmujore Janar - Q</w:t>
      </w:r>
      <w:r w:rsidR="00095763" w:rsidRPr="008E7ED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ershor 2022)</w:t>
      </w:r>
    </w:p>
    <w:p w:rsidR="0033140F" w:rsidRPr="008E7ED6" w:rsidRDefault="0033140F" w:rsidP="002870A3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3140F" w:rsidRPr="008E7ED6" w:rsidRDefault="0033140F" w:rsidP="002870A3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3140F" w:rsidRPr="008E7ED6" w:rsidRDefault="0033140F" w:rsidP="002870A3">
      <w:pPr>
        <w:ind w:left="270" w:right="-180"/>
        <w:rPr>
          <w:rFonts w:ascii="Times New Roman" w:hAnsi="Times New Roman" w:cs="Times New Roman"/>
          <w:color w:val="000000"/>
          <w:sz w:val="36"/>
          <w:szCs w:val="36"/>
        </w:rPr>
      </w:pPr>
    </w:p>
    <w:p w:rsidR="0033140F" w:rsidRPr="008E7ED6" w:rsidRDefault="0033140F" w:rsidP="002870A3">
      <w:pPr>
        <w:spacing w:after="160"/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33140F" w:rsidRPr="008E7ED6" w:rsidRDefault="00095763" w:rsidP="002870A3">
      <w:pPr>
        <w:spacing w:after="160"/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  <w:r w:rsidRPr="008E7E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33140F" w:rsidRDefault="0033140F" w:rsidP="002870A3">
      <w:pPr>
        <w:spacing w:after="160"/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DE5520" w:rsidRDefault="00DE5520" w:rsidP="002870A3">
      <w:pPr>
        <w:spacing w:after="160"/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DE5520" w:rsidRDefault="00DE5520" w:rsidP="002870A3">
      <w:pPr>
        <w:spacing w:after="160"/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A1000C" w:rsidRPr="008E7ED6" w:rsidRDefault="00A1000C" w:rsidP="002870A3">
      <w:pPr>
        <w:spacing w:after="160"/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33140F" w:rsidRPr="008E7ED6" w:rsidRDefault="00095763" w:rsidP="002870A3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E7E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8E7ED6">
        <w:rPr>
          <w:rFonts w:ascii="Times New Roman" w:hAnsi="Times New Roman" w:cs="Times New Roman"/>
          <w:b/>
          <w:i/>
          <w:color w:val="000000"/>
          <w:sz w:val="28"/>
          <w:szCs w:val="28"/>
        </w:rPr>
        <w:t>Qershor</w:t>
      </w:r>
      <w:r w:rsidRPr="008E7E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2022, Gjilan</w:t>
      </w:r>
    </w:p>
    <w:p w:rsidR="00DE5520" w:rsidRDefault="00DE5520" w:rsidP="002870A3">
      <w:pPr>
        <w:spacing w:after="160"/>
        <w:ind w:left="270" w:right="-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140F" w:rsidRPr="008E7ED6" w:rsidRDefault="00095763" w:rsidP="002870A3">
      <w:pPr>
        <w:spacing w:after="160"/>
        <w:ind w:left="270" w:right="-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Përmbledhje</w:t>
      </w:r>
    </w:p>
    <w:p w:rsidR="0033140F" w:rsidRDefault="00095763" w:rsidP="00612D53">
      <w:pPr>
        <w:spacing w:after="0"/>
        <w:ind w:left="-9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Drejtoria e Arsimit gjatë periudhës gjashtëmujore ka arritur  me sukses t’i realizojë objektivat e planifikuara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cilat ka</w:t>
      </w:r>
      <w:r w:rsidR="009A1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qenë të bazuara në planin e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veprimit, si dhe angazhime të shtuara  në përmbushjen e kërkesave dhe obligimeve të paparashikuara.</w:t>
      </w:r>
    </w:p>
    <w:p w:rsidR="009A1141" w:rsidRPr="008E7ED6" w:rsidRDefault="009A1141" w:rsidP="00612D53">
      <w:pPr>
        <w:spacing w:after="0"/>
        <w:ind w:left="-9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40F" w:rsidRDefault="00095763" w:rsidP="00612D53">
      <w:pPr>
        <w:spacing w:after="0"/>
        <w:ind w:left="-9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sektorin e arsimit, aktivitetet e planifikuara kanë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derivuar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nga Plani i Veprimit të DKA-së për periudhën koh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ore  janar-qershor për vitin shkollor 2021/22.</w:t>
      </w:r>
    </w:p>
    <w:p w:rsidR="009A1141" w:rsidRPr="008E7ED6" w:rsidRDefault="009A1141" w:rsidP="00612D53">
      <w:pPr>
        <w:spacing w:after="0"/>
        <w:ind w:left="-9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40F" w:rsidRPr="008E7ED6" w:rsidRDefault="00095763" w:rsidP="00612D53">
      <w:pPr>
        <w:spacing w:after="0"/>
        <w:ind w:left="-9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Objektivat zhvillimore të planifikuara në sektorin e arsimit janë: </w:t>
      </w:r>
    </w:p>
    <w:p w:rsidR="0033140F" w:rsidRPr="008E7ED6" w:rsidRDefault="00095763" w:rsidP="002870A3">
      <w:pPr>
        <w:pStyle w:val="ListParagraph"/>
        <w:numPr>
          <w:ilvl w:val="0"/>
          <w:numId w:val="10"/>
        </w:numP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Menaxhimi efikas i arsimit; </w:t>
      </w:r>
    </w:p>
    <w:p w:rsidR="0033140F" w:rsidRPr="008E7ED6" w:rsidRDefault="00095763" w:rsidP="002870A3">
      <w:pPr>
        <w:pStyle w:val="ListParagraph"/>
        <w:numPr>
          <w:ilvl w:val="0"/>
          <w:numId w:val="10"/>
        </w:numP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Krijimi i mekanizmave për ngritjen e cilësisë në arsim; </w:t>
      </w:r>
    </w:p>
    <w:p w:rsidR="0033140F" w:rsidRPr="008E7ED6" w:rsidRDefault="00095763" w:rsidP="002870A3">
      <w:pPr>
        <w:pStyle w:val="ListParagraph"/>
        <w:numPr>
          <w:ilvl w:val="0"/>
          <w:numId w:val="10"/>
        </w:numP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Zbatimi i suksesshëm i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kurrikulës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:rsidR="0033140F" w:rsidRPr="008E7ED6" w:rsidRDefault="00095763" w:rsidP="002870A3">
      <w:pPr>
        <w:pStyle w:val="ListParagraph"/>
        <w:numPr>
          <w:ilvl w:val="0"/>
          <w:numId w:val="10"/>
        </w:numP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Krijimi i kushteve për arsim  cilësor; </w:t>
      </w:r>
    </w:p>
    <w:p w:rsidR="0033140F" w:rsidRPr="008E7ED6" w:rsidRDefault="00095763" w:rsidP="002870A3">
      <w:pPr>
        <w:pStyle w:val="ListParagraph"/>
        <w:numPr>
          <w:ilvl w:val="0"/>
          <w:numId w:val="10"/>
        </w:numP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Zhvillimi i arsimit profesional për t’iu përshtatur tregut të punës;  </w:t>
      </w:r>
    </w:p>
    <w:p w:rsidR="0033140F" w:rsidRPr="008E7ED6" w:rsidRDefault="00095763" w:rsidP="002870A3">
      <w:pPr>
        <w:pStyle w:val="ListParagraph"/>
        <w:numPr>
          <w:ilvl w:val="0"/>
          <w:numId w:val="10"/>
        </w:numP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Zbatimi i legjislacionit primar dhe sekondar.</w:t>
      </w:r>
    </w:p>
    <w:p w:rsidR="0033140F" w:rsidRPr="008E7ED6" w:rsidRDefault="0033140F" w:rsidP="002870A3">
      <w:pPr>
        <w:spacing w:after="0"/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3140F" w:rsidRPr="00561859" w:rsidRDefault="00095763" w:rsidP="00781C39">
      <w:pPr>
        <w:pBdr>
          <w:top w:val="nil"/>
          <w:left w:val="nil"/>
          <w:bottom w:val="nil"/>
          <w:right w:val="nil"/>
          <w:between w:val="nil"/>
        </w:pBdr>
        <w:spacing w:after="160"/>
        <w:ind w:left="-180" w:right="-180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56185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Aktivitetet e zbatuara për periudhën raportuese gjashtëmujore Janar –</w:t>
      </w:r>
      <w:r w:rsidR="00C06DE4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r w:rsidRPr="0056185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Qershor 2022</w:t>
      </w:r>
    </w:p>
    <w:p w:rsidR="0033140F" w:rsidRPr="0028454E" w:rsidRDefault="00095763" w:rsidP="00781C39">
      <w:pPr>
        <w:ind w:left="-18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Duke marrë para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sysh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 w:rsidR="00D36669">
        <w:rPr>
          <w:rFonts w:ascii="Times New Roman" w:eastAsia="Times New Roman" w:hAnsi="Times New Roman" w:cs="Times New Roman"/>
          <w:color w:val="000000"/>
          <w:sz w:val="24"/>
          <w:szCs w:val="24"/>
        </w:rPr>
        <w:t>ndet</w:t>
      </w:r>
      <w:proofErr w:type="spellEnd"/>
      <w:r w:rsidR="00D36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mbështetjes nga Komuna e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Gjilanit, në politikat e  zhvillimit të sistemit arsimor në Komunën tonë, deri më tani janë ndërmarrë hapa konkret sipas PV të DKA-së për të fuqizuar trajtimin e gjitha niveleve të arsimit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parauniversitar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 gjendja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pritet të ndryshojë  konsiderueshëm  përmes</w:t>
      </w:r>
      <w:r w:rsidR="00792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realizimit të aktiviteteve në fushën </w:t>
      </w:r>
      <w:r w:rsidRPr="0028454E">
        <w:rPr>
          <w:rFonts w:ascii="Times New Roman" w:eastAsia="Times New Roman" w:hAnsi="Times New Roman" w:cs="Times New Roman"/>
          <w:color w:val="000000"/>
          <w:sz w:val="24"/>
          <w:szCs w:val="24"/>
        </w:rPr>
        <w:t>e infrastrukturës:</w:t>
      </w:r>
      <w:r w:rsidRPr="00284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140F" w:rsidRPr="008E7ED6" w:rsidRDefault="00095763" w:rsidP="002870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Krijimi i Hapësirave fizike për përfshirjen sa më të madhe të fëmijëve në nivelin e arsimit parashkollor përmes ndërtimit të objekteve të reja të destinu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ara për qëndrim ditor. Më datë:15.03.2022 kemi marrë aprovimin nga MASHTI  për ndërtimin e çerdhes së re në lagjen “Qarku 1”  me kapacitet për 120 fëmijë të moshës 9 muaj deri në 5 vjeç.</w:t>
      </w:r>
    </w:p>
    <w:p w:rsidR="0033140F" w:rsidRPr="008E7ED6" w:rsidRDefault="00095763" w:rsidP="002870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Më datë 17.03.2022, DKA në bashkëpunim të ngushtë me Drejtorinë e Ur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banizmit ka deponuar dosjen me dokumentacion plotësues në MASHTI për ndërtimin e çerdhes e cila do t’i fillojë punimet  gjatë këtij viti.</w:t>
      </w:r>
    </w:p>
    <w:p w:rsidR="0033140F" w:rsidRPr="008E7ED6" w:rsidRDefault="00095763" w:rsidP="002870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Bazuar në planifikimin e Qeverisë së Kosovës, miratuar në Kuvendin e RK, për ndërtimin e çerdhes së re  në fshatin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Mir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esh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si hap i parë  kemi realizuar  një analizë të gjendjes së numrit të fëmijëve  nga mosha 0-6 vjeç. Përveç analizave jemi angazhuar edhe në procesin  e grumbullimit të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dhënave dhe dokumentacionit plotësues për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zabtimin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projektit në fjalë. </w:t>
      </w:r>
    </w:p>
    <w:p w:rsidR="0033140F" w:rsidRPr="008E7ED6" w:rsidRDefault="00095763" w:rsidP="002870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Aktualis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 jemi në fazën e analizave për mundësinë e ndërtimit të objekteve,  anekseve apo edhe mundësinë  e shndërrimit të objekteve ekzistuese të  pashfrytëzuara në pronësi të komunës në çerdhe me qëndrim  ditor në dy zonat rurale të cilat janë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targetuar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pote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nciale të synuara për DKA,  njëra  në fshatin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Bresalc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tjetra në fshatin 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Përlepnicë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140F" w:rsidRPr="008E7ED6" w:rsidRDefault="00095763" w:rsidP="002870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iniciimin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DKA-së në bashkëpunim me qendrën 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vaksionimit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kuadër të QMF kemi marrë të dhëna statistikore për numrin e përgjithshëm të fëmijëve për moshën 0-5 vj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eç  në komunën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tonë, këto të dhëna statistikore do të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n’a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shërbejnë  për planifikimin e ndërtimit, zgjerimit apo ndërtimit të objekteve të reja të çerdheve si dhe qendrave me bazë në komunitet, për ngritjen e numrit të përfshirjes së fëmijëve nën moshën 5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vjeç. </w:t>
      </w:r>
    </w:p>
    <w:p w:rsidR="0033140F" w:rsidRPr="005B23D5" w:rsidRDefault="00095763" w:rsidP="002870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Angazhime në përfundimin e të gjitha aktiviteteve për hapjen e qendrës me bazë në komunitet (QBK).</w:t>
      </w:r>
      <w:r w:rsidR="005B2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2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muajin prill 2022, ka filluar punën qendra  me bazë në komunitet në fshatin </w:t>
      </w:r>
      <w:proofErr w:type="spellStart"/>
      <w:r w:rsidRPr="005B23D5">
        <w:rPr>
          <w:rFonts w:ascii="Times New Roman" w:eastAsia="Times New Roman" w:hAnsi="Times New Roman" w:cs="Times New Roman"/>
          <w:color w:val="000000"/>
          <w:sz w:val="24"/>
          <w:szCs w:val="24"/>
        </w:rPr>
        <w:t>Ponesh</w:t>
      </w:r>
      <w:proofErr w:type="spellEnd"/>
      <w:r w:rsidRPr="005B23D5">
        <w:rPr>
          <w:rFonts w:ascii="Times New Roman" w:eastAsia="Times New Roman" w:hAnsi="Times New Roman" w:cs="Times New Roman"/>
          <w:color w:val="000000"/>
          <w:sz w:val="24"/>
          <w:szCs w:val="24"/>
        </w:rPr>
        <w:t>,  për fëmijët e moshës 3-5 vjeç në kuadër të SHFMU ‘</w:t>
      </w:r>
      <w:proofErr w:type="spellStart"/>
      <w:r w:rsidRPr="005B23D5">
        <w:rPr>
          <w:rFonts w:ascii="Times New Roman" w:eastAsia="Times New Roman" w:hAnsi="Times New Roman" w:cs="Times New Roman"/>
          <w:color w:val="000000"/>
          <w:sz w:val="24"/>
          <w:szCs w:val="24"/>
        </w:rPr>
        <w:t>Vesel</w:t>
      </w:r>
      <w:proofErr w:type="spellEnd"/>
      <w:r w:rsidRPr="005B2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3D5">
        <w:rPr>
          <w:rFonts w:ascii="Times New Roman" w:eastAsia="Times New Roman" w:hAnsi="Times New Roman" w:cs="Times New Roman"/>
          <w:color w:val="000000"/>
          <w:sz w:val="24"/>
          <w:szCs w:val="24"/>
        </w:rPr>
        <w:t>Muji</w:t>
      </w:r>
      <w:proofErr w:type="spellEnd"/>
      <w:r w:rsidRPr="005B2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’. Aktualisht këtë qendër e frekuentojnë </w:t>
      </w:r>
      <w:proofErr w:type="spellStart"/>
      <w:r w:rsidRPr="005B23D5">
        <w:rPr>
          <w:rFonts w:ascii="Times New Roman" w:eastAsia="Times New Roman" w:hAnsi="Times New Roman" w:cs="Times New Roman"/>
          <w:color w:val="000000"/>
          <w:sz w:val="24"/>
          <w:szCs w:val="24"/>
        </w:rPr>
        <w:t>gjithësej</w:t>
      </w:r>
      <w:proofErr w:type="spellEnd"/>
      <w:r w:rsidRPr="005B23D5">
        <w:rPr>
          <w:rFonts w:ascii="Times New Roman" w:eastAsia="Times New Roman" w:hAnsi="Times New Roman" w:cs="Times New Roman"/>
          <w:color w:val="000000"/>
          <w:sz w:val="24"/>
          <w:szCs w:val="24"/>
        </w:rPr>
        <w:t>: trembëdhjetë (13) fëmijë. Projekti është  mbështetur ng</w:t>
      </w:r>
      <w:r w:rsidRPr="005B2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UNICEF dhe  QHZHFH, ku  përmes hapjes së këtyre qendrave synohet të arrihet qëllimi kryesor, rritja e shkallës së përfshirjes së fëmijëve në  ofrimin e shërbimeve në  edukimin e  hershëm dhe lehtësimin e qasjes në këto shërbime nga të gjithë  fëmijët pa </w:t>
      </w:r>
      <w:r w:rsidRPr="005B2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dallim. </w:t>
      </w:r>
    </w:p>
    <w:p w:rsidR="0033140F" w:rsidRPr="008E7ED6" w:rsidRDefault="00095763" w:rsidP="002870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Për krijimin e kushteve më të mira të ambienteve të klasave përgatitore, janë pajisur dy klasa përgatitore me inventar dhe pako didaktike, në kuadër të SHFMU “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Ramiz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Cernica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dhe “Vatra e Diturisë”  për fëmijët e moshës 5-6 vjeç të cilat do të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ngri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përmirësimin e cilësisë së shërbimeve të punës edukative në nivelin e edukimit të hershëm, si dhe përmirësimin e infrastrukturës për ofrimin e shërbimeve për edukim të hershëm në bashkëpunim me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Caritasin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Zviceran në Kosovë. </w:t>
      </w:r>
    </w:p>
    <w:p w:rsidR="0033140F" w:rsidRPr="008E7ED6" w:rsidRDefault="00095763" w:rsidP="002870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Kompletimi i dokumentacioni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për nëntë (9) terrene sportive, në bashkëpunim me Drejtorinë e Zhvillimit Ekonomik. </w:t>
      </w:r>
    </w:p>
    <w:p w:rsidR="0033140F" w:rsidRPr="008E7ED6" w:rsidRDefault="00095763" w:rsidP="002870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DKA është në fazën e fillimit të zbatimit të projektit për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efiçiencë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. Projekti në fjalë ka filluar së zbatuari në IAAP “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Mehmet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Isai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dhe pritet të fillojë së shpejti në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SHFMU “Rexhep Elmazi”.</w:t>
      </w:r>
    </w:p>
    <w:p w:rsidR="0033140F" w:rsidRPr="008E7ED6" w:rsidRDefault="00095763" w:rsidP="002870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Renovimi i sallës së Edukatës Fizike në Gjimnazin Shoqëror “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Zenel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Hajdini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” aktualisht është në fazën përfundimtare.</w:t>
      </w:r>
    </w:p>
    <w:p w:rsidR="0033140F" w:rsidRPr="008E7ED6" w:rsidRDefault="00095763" w:rsidP="002870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Janë adaptuar dy tualete në shkollat “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Nazmi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Hoxha” dhe “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Musa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Zajmi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në Gjilan për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çasje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më të lehtë fëmijëve me nevoj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 të veçanta (FNV) të financuara nga donatori “AR Katana”.</w:t>
      </w:r>
    </w:p>
    <w:p w:rsidR="0033140F" w:rsidRPr="008E7ED6" w:rsidRDefault="00095763" w:rsidP="002870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Rregullimi i dhomës miqësore për FNV në IAAP’’ Arbëria’’ –  e mbështetur nga IPKO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Fondation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140F" w:rsidRPr="008E7ED6" w:rsidRDefault="00095763" w:rsidP="002870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DKA ka shqyrtuar kërkesat e deponuara nga IEA për nevojat për  renovime dhe ndërhyrje infrastrukturore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për të gjitha IEA. Bazuar në vizitat vlerësuese, ka klasifikuar nevojat urgjente për ndërhyrje.</w:t>
      </w:r>
    </w:p>
    <w:p w:rsidR="0033140F" w:rsidRPr="008E7ED6" w:rsidRDefault="00095763" w:rsidP="002870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Angazhime në realizimin e dezinfektimit,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dezinsektimit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deratizimit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(DDD) në bashkëpunim me IEA- të.</w:t>
      </w:r>
    </w:p>
    <w:p w:rsidR="0033140F" w:rsidRDefault="00095763" w:rsidP="002870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Angazhime në plotësimin 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formulareve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për Vlerësimin 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Performancës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Komunale  për vitin 2021, në fushën e arsimit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parauniversitar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drejtuar nga MAPL dhe  USAID.</w:t>
      </w:r>
    </w:p>
    <w:p w:rsidR="00A75633" w:rsidRPr="008E7ED6" w:rsidRDefault="00A75633" w:rsidP="0078509D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40F" w:rsidRPr="00F142FE" w:rsidRDefault="00095763" w:rsidP="00CE32F1">
      <w:pPr>
        <w:pBdr>
          <w:top w:val="nil"/>
          <w:left w:val="nil"/>
          <w:bottom w:val="nil"/>
          <w:right w:val="nil"/>
          <w:between w:val="nil"/>
        </w:pBdr>
        <w:spacing w:after="0"/>
        <w:ind w:left="-90" w:right="-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42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Angazhime në përgatitjet për fillimin e vitit të ri shkollor 2022/2023. </w:t>
      </w:r>
    </w:p>
    <w:p w:rsidR="0033140F" w:rsidRPr="008E7ED6" w:rsidRDefault="00095763" w:rsidP="002870A3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Shpallja e  konkurseve për pranimin e nxënësve: </w:t>
      </w:r>
    </w:p>
    <w:p w:rsidR="0033140F" w:rsidRPr="008E7ED6" w:rsidRDefault="00095763" w:rsidP="002870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Konkursi për regjistrimin e fëmijëve në Institucionet Parashkollore Publike 9 muaj deri 5 vjeç;</w:t>
      </w:r>
    </w:p>
    <w:p w:rsidR="0033140F" w:rsidRPr="008E7ED6" w:rsidRDefault="00095763" w:rsidP="002870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Konkursi për nivelin e arsimit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parafillor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fëmijëve 5-6 vjeç, në kuadër të SHFMU;</w:t>
      </w:r>
    </w:p>
    <w:p w:rsidR="0033140F" w:rsidRPr="008E7ED6" w:rsidRDefault="00095763" w:rsidP="002870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Konkursi për nivelin arsimit fillor, klasa e parë.</w:t>
      </w:r>
    </w:p>
    <w:p w:rsidR="0033140F" w:rsidRPr="008E7ED6" w:rsidRDefault="00095763" w:rsidP="002870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Organizimi i aktivitetit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“Java e Dyerve të Hapura” për nxënësit e klasave të 9 – ta; </w:t>
      </w:r>
    </w:p>
    <w:p w:rsidR="0033140F" w:rsidRPr="008E7ED6" w:rsidRDefault="00095763" w:rsidP="002870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Planifikimi i paraleleve dhe profileve për nxënësit e SHML për vitin shkollor 2022-2023;</w:t>
      </w:r>
    </w:p>
    <w:p w:rsidR="0033140F" w:rsidRPr="008E7ED6" w:rsidRDefault="00095763" w:rsidP="002870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Përgatitja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 konkursit për regjistrimin e nxënësve në klasën e (10), në Gjimnaze dhe Institucionet e Arsim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it dhe Aftësimit Profesional (IAAP)” për vitin shkollor 2022-2023;</w:t>
      </w:r>
    </w:p>
    <w:p w:rsidR="0033140F" w:rsidRPr="00F32C78" w:rsidRDefault="00095763" w:rsidP="002870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Planifikimi i ditarëve si dhe dokumenteve pedagogjike 2022-2023.</w:t>
      </w:r>
    </w:p>
    <w:p w:rsidR="0033140F" w:rsidRDefault="00095763" w:rsidP="00DB627F">
      <w:pPr>
        <w:pBdr>
          <w:top w:val="nil"/>
          <w:left w:val="nil"/>
          <w:bottom w:val="nil"/>
          <w:right w:val="nil"/>
          <w:between w:val="nil"/>
        </w:pBdr>
        <w:spacing w:after="0"/>
        <w:ind w:left="-90" w:right="-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F32C78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Angazhimet profesionale në zbatim të aktiviteteve gjithëpërfshirëse në ngritjen e cilësisë për ni</w:t>
      </w:r>
      <w:r w:rsidR="000D20C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velin e arsimit </w:t>
      </w:r>
      <w:proofErr w:type="spellStart"/>
      <w:r w:rsidR="000D20C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parauniversitar</w:t>
      </w:r>
      <w:proofErr w:type="spellEnd"/>
    </w:p>
    <w:p w:rsidR="00793474" w:rsidRPr="00793474" w:rsidRDefault="00793474" w:rsidP="002870A3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Hartimi i planit të veprimit (PV) të DKA-së.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Në kuadër të vizitave në IEA, Drejtoresha e DKA-së e shoqëruar me zyrtarët për p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eriudhën kohore shkurt-qershor 2022 ka vizituar rreth 75% të shkollave në tërë komunën e Gjilanit sipas planit dinamik të planifikuar.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Vizita monitoruese në  IEA.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Komunikim të përditësuar individual dhe grupor me IEA-të për menaxhimin e gjendjes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pandemike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(riorganizimet e brendshme, përcjellja e vijueshmërisë së fëmijëve, rekomandimet për menaxhimin e virusit Covid-19, në theks të veçantë, higjiena  dhe dezinfektimi i shtuar, bazuar në udhëzuesit dhe protokollet në fuqi nga Qeveria e Kosovës, delegimi i zëv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endësimeve, monitorimi i takimeve me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task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forcat  në nivel të IEA-ve.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Komunikim të përditësuar me udhëheqësit e IEA-ve në mënyrë të vazhdueshme.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Në bazë të detyrave dhe përgjegjësive DKA ka themeluar Këshillin e Prindërve në Nivel Lokal. Në kuvendin e mbaj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tur më datë 14.03.2022, është zgjedhur kryesia e re prej shtatë anëtarëve, nënkryetari dhe kryetari.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Në kuadër të fuqizimit të rolit të këshillave drejtuese të IEA-ve, është kërkuar plotësimi i këshillave drejtuese të shkollave dhe organeve drejtuese të sh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kollave si dhe  monitorimi i punës së këshillave drejtuese të në kuadër të  IEA- ve përmes procesverbaleve.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Takime të rregullta me udhëheqësit e IEA-ve, rreth identifikimit dhe mbështetjes së nevojave për përmirësimin e cilësisë së shërbimeve të punës eduk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ative në të gjitha nivelet e arsimit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parauniversitar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Takime të rregullta pune me zyrtarët e DKA-së.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Është bërë planifikimi dhe realizimi për testin 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arritshmërisë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maturës shtetërore (caktimi i qendrave të testimit, administruesve dhe vëzhguesve si d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he ndarja e nxënësve bazuar në udhëzuesin e MASHTI-t.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Janë  organizuar dhe realizuar testet ndërkombëtare: PISA, TIMSS dhe ICIRLS.</w:t>
      </w:r>
    </w:p>
    <w:p w:rsidR="00A63719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Janë organizuar dhe mbështetur garat shkollore në nivel të Komunës dhe Republikës si: Olimpiada matematikore e Gjilanit 2022,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Garat e Fizikës dhe  Garat KANGAROO etj.</w:t>
      </w:r>
    </w:p>
    <w:p w:rsidR="00A91622" w:rsidRPr="00A91622" w:rsidRDefault="00A91622" w:rsidP="002870A3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40F" w:rsidRPr="00A246CE" w:rsidRDefault="00095763" w:rsidP="00A246CE">
      <w:pPr>
        <w:pBdr>
          <w:top w:val="nil"/>
          <w:left w:val="nil"/>
          <w:bottom w:val="nil"/>
          <w:right w:val="nil"/>
          <w:between w:val="nil"/>
        </w:pBdr>
        <w:ind w:left="270" w:right="-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Planifikimi dhe plotësimi i normave mësimore</w:t>
      </w:r>
    </w:p>
    <w:p w:rsidR="0033140F" w:rsidRPr="008E7ED6" w:rsidRDefault="00095763" w:rsidP="002870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Angazhime në stabilizimin e normave për të gjitha nivelet e arsimit në komunën tonë,  e cila është njëra nga objektivat e tona si DKA, bazuar në  planin e veprimit si dhe strategjinë  tonë të udhëheqjes për vitet në vazhdim. Gjatë kësaj periudhe të shkurtë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r, kemi skanuar gjendjen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ekzistuese dhe jemi në fazën e përgatitjeve të normave të mësimdhënësve për vitin shkollor 2022/23, duke i respektuar të gjitha aktet ligjore në fuqi. </w:t>
      </w:r>
    </w:p>
    <w:p w:rsidR="0033140F" w:rsidRPr="008E7ED6" w:rsidRDefault="00095763" w:rsidP="002870A3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Për t’i plotësuar vendet e lira dhe të nevojshme  për staf në IEAA, kemi shpall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ur konkurset si në vijim:</w:t>
      </w:r>
    </w:p>
    <w:p w:rsidR="0033140F" w:rsidRPr="008E7ED6" w:rsidRDefault="00095763" w:rsidP="00781C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Konkursi për asistentë për fëmijë me nevoja të veçanta;</w:t>
      </w:r>
    </w:p>
    <w:p w:rsidR="0033140F" w:rsidRPr="008E7ED6" w:rsidRDefault="00095763" w:rsidP="00781C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Konkursi për stafin mbështetës teknikë në shkolla;</w:t>
      </w:r>
    </w:p>
    <w:p w:rsidR="0033140F" w:rsidRPr="008E7ED6" w:rsidRDefault="00095763" w:rsidP="00781C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Konkursi për drejtorë dhe zëvendësdrejtorë në IEAA;</w:t>
      </w:r>
    </w:p>
    <w:p w:rsidR="0033140F" w:rsidRPr="008E7ED6" w:rsidRDefault="00095763" w:rsidP="00781C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Konkursi i brendshëm për mësimdhënës.</w:t>
      </w:r>
    </w:p>
    <w:p w:rsidR="0033140F" w:rsidRPr="008E7ED6" w:rsidRDefault="0033140F" w:rsidP="002870A3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3140F" w:rsidRPr="008E7ED6" w:rsidRDefault="00095763" w:rsidP="004A5C0C">
      <w:pPr>
        <w:pBdr>
          <w:top w:val="nil"/>
          <w:left w:val="nil"/>
          <w:bottom w:val="nil"/>
          <w:right w:val="nil"/>
          <w:between w:val="nil"/>
        </w:pBdr>
        <w:ind w:left="-90" w:right="-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Trajnimet dhe zhvillimi profesional i stafit në IEA</w:t>
      </w:r>
    </w:p>
    <w:p w:rsidR="0033140F" w:rsidRPr="008E7ED6" w:rsidRDefault="00095763" w:rsidP="002870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Përmes angazhimeve permanente, në periudhën dy mujore janar dhe shkurt 2022,  në adresimin e kërkesave në organizatat e ndryshme  ndërkombëtare dhe vendore, për nevojat e trajnimeve të edukatoreve në komunën e Gjilanit, kemi arritur që të përfitojmë gjasht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module të akredituara të trajnimeve për njëzet e shtatë (27) edukatore të klasave përgatitore në kuadër të shkollave, nga organizata ndërkombëtare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Caritasi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Zvicerian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Kosovë, si dhe gjashtë module të aprovuara dhe mbështetura nga organizata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Unicef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dhe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Universiteti i Prishtinës - Fakulteti i Edukimit, për gjithsejtë: pesëdhjetë (50) edukatore në kuadër të institucioneve parashkollore dhe shkollave fillore, të cilat gjatë muajve në vijim do të fillojnë të zbatohen.</w:t>
      </w:r>
    </w:p>
    <w:p w:rsidR="0033140F" w:rsidRPr="008E7ED6" w:rsidRDefault="00095763" w:rsidP="002870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hAnsi="Times New Roman" w:cs="Times New Roman"/>
          <w:color w:val="000000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Me datë:11.06.2022, në kuadër të projek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tit "Forcimi i kapaciteteve të vendimmarrësve në nivel komunal, për planifikimin dhe koordinimin për të zgjeruar mbulimin dhe cilësinë e shërbimeve të edukimit në fëmijërinë e hershme ", janë realizuar trajnime për edukatoret e nivelit të arsimit parashkol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lor në kuadër të shkollave dhe institucioneve parashkollore, nga organizata QHZHFH.</w:t>
      </w:r>
    </w:p>
    <w:p w:rsidR="0033140F" w:rsidRPr="008E7ED6" w:rsidRDefault="00095763" w:rsidP="002870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hAnsi="Times New Roman" w:cs="Times New Roman"/>
          <w:color w:val="000000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datë: 21.05.2022, është realizuar trajnimi me temën “Roli dhe ndikimi i baballarëve në rritjen dhe zhvillimin e fëmijërisë së hershme” për edukatoret e klasave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parafillo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edukatoret në kuadër të institucioneve parashkollore.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33140F" w:rsidRPr="008E7ED6" w:rsidRDefault="00095763" w:rsidP="002870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hAnsi="Times New Roman" w:cs="Times New Roman"/>
          <w:color w:val="000000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Punëtori kreative me prindërit e fëmijëve dhe edukatoret në dy institucione parashkollore, mbështetur nga Save the Children dhe DKA.</w:t>
      </w:r>
    </w:p>
    <w:p w:rsidR="0033140F" w:rsidRPr="008E7ED6" w:rsidRDefault="00095763" w:rsidP="002870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hAnsi="Times New Roman" w:cs="Times New Roman"/>
          <w:color w:val="000000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Punëtori një ditore me kryetaret e aktiveve profesionale të e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dukatoreve, në kuadër të shkollave dhe institucioneve parashkollore.</w:t>
      </w:r>
    </w:p>
    <w:p w:rsidR="0033140F" w:rsidRPr="008E7ED6" w:rsidRDefault="00095763" w:rsidP="002870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hAnsi="Times New Roman" w:cs="Times New Roman"/>
          <w:color w:val="000000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Pjesëmarrje e vazhdueshme e mësimdhënësve në trajnime të licencuara nga MASHTI në të gjitha nivelet e arsimit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parauniversitar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140F" w:rsidRPr="008E7ED6" w:rsidRDefault="00095763" w:rsidP="002870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hAnsi="Times New Roman" w:cs="Times New Roman"/>
          <w:color w:val="000000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Përfundimi i trajnimit për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kurrikulë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, si dhe vlerësimi i një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qind (100) mësimdhënësve të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gjitha niveleve në arsimin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parauniversitar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140F" w:rsidRPr="008E7ED6" w:rsidRDefault="00095763" w:rsidP="002870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hAnsi="Times New Roman" w:cs="Times New Roman"/>
          <w:b/>
          <w:color w:val="000000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Grumbullimi i nevojave nga institucionet e arsimit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parauniversitar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zhvillim profesional dhe trajnime për personelin arsimor në bashkëpunim me MASHTI. </w:t>
      </w:r>
    </w:p>
    <w:p w:rsidR="0033140F" w:rsidRPr="008E7ED6" w:rsidRDefault="00095763" w:rsidP="002870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hAnsi="Times New Roman" w:cs="Times New Roman"/>
          <w:color w:val="000000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 i punëtorive me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nxënës të shkollave të mesme të larta.</w:t>
      </w:r>
    </w:p>
    <w:p w:rsidR="0033140F" w:rsidRPr="008E7ED6" w:rsidRDefault="00095763" w:rsidP="002870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hAnsi="Times New Roman" w:cs="Times New Roman"/>
          <w:color w:val="000000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 i punëtorisë virtuale ‘UPSHIFT- punëtoria për ndikim social’.</w:t>
      </w:r>
    </w:p>
    <w:p w:rsidR="0033140F" w:rsidRPr="00781C39" w:rsidRDefault="00095763" w:rsidP="00781C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hAnsi="Times New Roman" w:cs="Times New Roman"/>
          <w:color w:val="000000"/>
        </w:rPr>
      </w:pP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Dizajnimi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databazës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së trajnimeve për mësimdhënësit në të gjitha nivelet e arsimit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parauniversitar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Sipas PV janë ndjekur të gjithë hapat drejt krijimit të një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databaze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kuadër të DKA-së. Jemi në fazën e plotësimit të 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databazës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të dhëna të detajuar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nga IEA-të. Përmes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këtyre të dhënave, DKA për herë të parë do t’i ketë në dispozicion informatat e detajuara individuale rreth trajnimeve të ndjekura dhe nevojat për mbështetje të mësimdhënësve të komunës sonë.</w:t>
      </w:r>
    </w:p>
    <w:p w:rsidR="0033140F" w:rsidRPr="008E7ED6" w:rsidRDefault="0033140F" w:rsidP="002870A3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</w:rPr>
      </w:pPr>
    </w:p>
    <w:p w:rsidR="0033140F" w:rsidRPr="008E7ED6" w:rsidRDefault="00095763" w:rsidP="002870A3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Pjesëmarrja e zyrtarëve  në punëtori</w:t>
      </w:r>
    </w:p>
    <w:p w:rsidR="0033140F" w:rsidRPr="008E7ED6" w:rsidRDefault="0033140F" w:rsidP="002870A3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Pjesëmarrje në dy punëtori dyditore me zyrtarët e nivelit për arsimin parashkollor të DKA-ve në nivel të  Republikës, në kuadër të projektit SHPRESË- të mbështetura nga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Caritasi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Zviceran në Kosovë. 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Punëtori e organizuar nga rrjeti ballkanik i gazetarisë h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ulumtuese me temë “Procesi i ri-integrimit dhe ri-socializmit të personave që kanë rënë ndesh me idetë radikale”.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Organizimi i sesioneve informuese nga ekipi vlerësues pedagogjik për shënimin e datave 21 mars – Dita 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Down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Sindrom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2 prill – Dita 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Auti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zmit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Pjesëmarrja në takim me forumin e aftësisë së kufizuar dhe institucionet komunale ku u diskutua për të arriturat, sfidat dhe përgjegjësitë ndaj FNV. 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Në kuadër të projektit “Forcimi i kapaciteteve të vendimmarrësve në nivel komunal, për planifikimin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dhe koordinimin për të zgjeruar cilësinë e shërbimeve të edukimit në fëmijërinë e hershme në komunat e Gjilanit mbështetur nga UNICEF dhe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implementuar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nga Qendra për Shërbime Humane dhe Zhvillime” më datë: 17.03.2022 është mbajtur punëtoria për hartimin e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Planit të Veprimit të Komunës së Gjilanit për fëmijërinë e hershme.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Punëtori për ndryshimin e Udhëzimet Administrative (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Granti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Specifik i Arsimit) dhe UA raporti nxënës-mësimdhënës.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Pjesëmarrje në punëtorinë dy ditore me zyrtarët e arsimit gjithëpërfshirës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DKA-ve në nivel të Republikës në kuadër të projektit “INCLUDE” të organizuar nga Këshilli i Evropës në Kosovë.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 datë:11-12.05.2022, pjesëmarrje në punëtorinë dy ditore me fokus në punën e saj në zbatimin e programeve zhvillimore në fushat e ‘Edukimit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në Fëmijërinë e Hershme’, mbrojtjes së fëmijës, qeverisjes së të drejtave të fëmijës, dhe shëndetit 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ushqyeshmërisë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 Bartëse e aktivitetit është organizata “Save the Children” në bashkëpunim me MASHTI-n, ku është bërë prezantimi i programeve për periudhë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n 2022+.” në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Brezovicë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Pjesëmarrje në punëtorinë me Mekanizmin Referues e organizuar nga BIRN, me temë: “Menaxhimi në raste të krizave”.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Pjesëmarrje në punëtorinë e organizuar nga Programi i USAID-it </w:t>
      </w:r>
      <w:r w:rsidRPr="008E7E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“Përkrahje</w:t>
      </w:r>
      <w:r w:rsidRPr="008E7E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Adoleshentëve pas Mësimit të Rregullt”- ASSET,</w:t>
      </w:r>
      <w:r w:rsidRPr="008E7E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me qëllim të diskutimit për qëndrueshmërinë e aktiviteteve pas përfundimit të programit.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Pjesëmarrje në punëtorinë e organizuar nga BIRN, në  publikimin e raportit “Sfidat e procesit të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Riintegrimit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Risoci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alizimit në Kosovë”.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Pjesëmarrje në takimin me MASHTI-in, me qëllim të informimit lidhur me ZHPM me bazë në shkollë, dokumentacionin si dhe procedurat  me shpenzimet buxhetore nga MASHTI dhe DKA.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Pjesëmarrje në takim lidhur me projektin: “Mbështetja e Bash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kimit Evropian për Arsimin dhe Aftësimin Profesional (AAP), rikualifikimet profesionale dhe profesionet (“ESVET PRO”) me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temën </w:t>
      </w:r>
      <w:r w:rsidRPr="008E7E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Digjitalizimi i Sistemit të AAP-së: Roli i mjeteve digjitale në procesin e të nxënit dhe të vlerësimit” dhe certifikimi i mësimd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hënësve të cilët e kanë përfunduar me sukses trajnimin e ofruar nga projekti.</w:t>
      </w:r>
    </w:p>
    <w:p w:rsidR="0033140F" w:rsidRPr="008E7ED6" w:rsidRDefault="0033140F" w:rsidP="002870A3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40F" w:rsidRPr="008E7ED6" w:rsidRDefault="0033140F" w:rsidP="00FE2585">
      <w:pPr>
        <w:pBdr>
          <w:top w:val="nil"/>
          <w:left w:val="nil"/>
          <w:bottom w:val="nil"/>
          <w:right w:val="nil"/>
          <w:between w:val="nil"/>
        </w:pBdr>
        <w:spacing w:after="0"/>
        <w:ind w:left="-18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40F" w:rsidRPr="008E7ED6" w:rsidRDefault="00095763" w:rsidP="00FE2585">
      <w:pPr>
        <w:pBdr>
          <w:top w:val="nil"/>
          <w:left w:val="nil"/>
          <w:bottom w:val="nil"/>
          <w:right w:val="nil"/>
          <w:between w:val="nil"/>
        </w:pBdr>
        <w:spacing w:after="0"/>
        <w:ind w:left="-180" w:right="-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Marrëveshjet dhe bashkëpunimi me organizatat vendore dhe ndërkombëtare - donacionet </w:t>
      </w:r>
    </w:p>
    <w:p w:rsidR="0033140F" w:rsidRPr="008E7ED6" w:rsidRDefault="0033140F" w:rsidP="002870A3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Marrëveshje mirëkuptimi ndërmjet DKA-MASHTI-EYE (Projekti - rritja e punësimit për të rinjtë) - themelimi i Qendrës së Karrierës në IAAP “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Mehmet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Isai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” në Gjilan.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Memorandum i mirëkuptimit mes KEC dhe SHFMU “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Abaz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Ajeti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për projektin “Transformimi shoqëror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inovativ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Kosovë”,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Eulex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mbështetur me pajisje elektronike SHFMU “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Musa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Zajmi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Donacion nga shkolla 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Wetzikonit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Cyrih për Gjimnazin “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Zenel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Hajdini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me pajisje teknologjike. 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OSBE ka mbështetur nxënësit e Komunitetit RAE me pajisje elektronike.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Proj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ekti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Connected-Through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Mobility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SHMLAT”Arbëria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”-përzgjedhja e tre nxënësve për praktikë një mujore në Slloveni.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Në muajin maj 2022, Save the Children ka mbështetur dy institucione parashkollore me materiale didaktike dhe lodra demonstruese të konsiderue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shme për fëmijët 9 muaj - 5 vjet.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Marrëveshje partneriteti mes: Save the Children-Drejtorisë Komunale të Arsimit-Drejtorisë Komunale të </w:t>
      </w:r>
      <w:r w:rsidR="00DF7D01"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Shëndetësisë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Mirëqenies Sociale të Gjilanit për realizimin e projektit “Përmirësimi i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çasjes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cilësisë në Kujdesi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dhe Zhvillimin gjatë Fëmijërisë së Hershme në Kosovë-Zgjerimi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Medikal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Memorandum Mirëkuptimi në mes  DKA-së dhe IPKO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="008F662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ndation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qëllim të mbështetjes së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inovatorëve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rinjë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zhvillimit të brezit të ardhshëm të liderëve me vizion digjital për Kosovën.</w:t>
      </w:r>
    </w:p>
    <w:p w:rsidR="0033140F" w:rsidRPr="00C3054E" w:rsidRDefault="00095763" w:rsidP="00C3054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Si rezultat i bashkëpunimit në mes të Organizatës Gjermane GIZ - Qeveri e Kosovës-GFA dhe DKA është arritur të angazhohet një asistent për bashkëpunimin ndërmjet shkollës-dhe bizneseve, në IAAP “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Mehmet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Isai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” për periudhën dy vjeçare, i cili do të bëjë ndër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lidhjen në mes të shkollës dhe bizneseve të cilat operojnë në komunën tonë.</w:t>
      </w:r>
    </w:p>
    <w:p w:rsidR="0033140F" w:rsidRPr="005C3A7E" w:rsidRDefault="00095763" w:rsidP="005C3A7E">
      <w:pPr>
        <w:pBdr>
          <w:top w:val="nil"/>
          <w:left w:val="nil"/>
          <w:bottom w:val="nil"/>
          <w:right w:val="nil"/>
          <w:between w:val="nil"/>
        </w:pBdr>
        <w:spacing w:after="0"/>
        <w:ind w:left="-90" w:right="-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5C3A7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Organizimi dhe realizimi i </w:t>
      </w:r>
      <w:proofErr w:type="spellStart"/>
      <w:r w:rsidRPr="005C3A7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eventeve</w:t>
      </w:r>
      <w:proofErr w:type="spellEnd"/>
      <w:r w:rsidRPr="005C3A7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për nder të shënimit të datave të rëndësishme</w:t>
      </w:r>
    </w:p>
    <w:p w:rsidR="0033140F" w:rsidRPr="008E7ED6" w:rsidRDefault="0033140F" w:rsidP="002870A3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Organizimi, menaxhimi, monitorimi dhe shënimi i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eventit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“7 Marsi – Dita e Mësuesit”.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dhe shënimi i ditës ndërkombëtare të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Sindrom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Down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, më 21 mars.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Organizimi dhe shënimi i ditës ndërkombëtare të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Autizmit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, më 2 prill.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Pjesëmarrje në organizime –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evente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ndryshme të shkollave.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Organizimi, menaxhimi i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eventit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“1 Qershori Dita Ndërkombëta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e Fëmijëve’ me pjesëmarrës aktiv gjithsej: gjashtëqind e tetëdhjetë ( 680) fëmijë të moshës 5-6 vjeçare, në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platonë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Teatrit të Qytetit.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Shënimi i ditës së 3 qershorit- “Dita Botërore e Biçikletës”, në bashkëpunim me FSK-në.</w:t>
      </w:r>
    </w:p>
    <w:p w:rsidR="0033140F" w:rsidRPr="008E7ED6" w:rsidRDefault="00095763" w:rsidP="002870A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Shënimi i 15 qershorit – ‘Dita e Çlirimit’ të  Qytetit të Gjilanit, në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bashkëorganizim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kabinetin e Kryetarit të Komunës dhe DKRS.</w:t>
      </w:r>
    </w:p>
    <w:p w:rsidR="0033140F" w:rsidRPr="008E7ED6" w:rsidRDefault="00095763" w:rsidP="002870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Pjesëmarrje aktive me të  gjitha shkollat në zbatim të projektit për pastrimin e ambientit “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Clean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nga data:  22 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prill – 5 qershor 2022 .</w:t>
      </w:r>
    </w:p>
    <w:p w:rsidR="0033140F" w:rsidRPr="008E7ED6" w:rsidRDefault="00095763" w:rsidP="002870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Realizimi i aktivitetit me Kryqin e Kuq të Kosovës-Dega në Gjilan.</w:t>
      </w:r>
    </w:p>
    <w:p w:rsidR="0033140F" w:rsidRPr="008E7ED6" w:rsidRDefault="00095763" w:rsidP="002870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Realizimi i projektit “Kampi Rinor” të organizuar nga UNDP.</w:t>
      </w:r>
    </w:p>
    <w:p w:rsidR="0033140F" w:rsidRPr="008E7ED6" w:rsidRDefault="00095763" w:rsidP="002870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Realizimi i projektit me Kompaninë për Operacione Civile, Forca e Sigurisë së Kosovës. </w:t>
      </w:r>
    </w:p>
    <w:p w:rsidR="0033140F" w:rsidRPr="008E7ED6" w:rsidRDefault="00095763" w:rsidP="002870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Për nder të ‘Jav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ës së Psikologjisë’, psikologët e Gjimnazit Natyror “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Xhavit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Ahmeti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organizuan aktivitetet si në vijim: </w:t>
      </w:r>
    </w:p>
    <w:p w:rsidR="0033140F" w:rsidRPr="008E7ED6" w:rsidRDefault="00095763" w:rsidP="00C55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Debat me tri tema si: trashëgimia pronësore, pabarazia gjinore dhe mentaliteti patriarkal;</w:t>
      </w:r>
    </w:p>
    <w:p w:rsidR="0033140F" w:rsidRPr="008E7ED6" w:rsidRDefault="00095763" w:rsidP="00C55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Meditim, terapi grupore me qëllim të promovimit dhe ruajtjes së shëndetit  mendor si dhe bartjen e mesazheve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vetëdijësuese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parandalimin e dukurive negative;</w:t>
      </w:r>
    </w:p>
    <w:p w:rsidR="0033140F" w:rsidRPr="00C55014" w:rsidRDefault="00095763" w:rsidP="00C55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Dy shfaqje teatrale, me tematikë nga fusha e drejtësisë.</w:t>
      </w:r>
    </w:p>
    <w:p w:rsidR="0033140F" w:rsidRPr="008E7ED6" w:rsidRDefault="0033140F" w:rsidP="002870A3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40F" w:rsidRPr="008E7ED6" w:rsidRDefault="00095763" w:rsidP="00C55014">
      <w:pPr>
        <w:pBdr>
          <w:top w:val="nil"/>
          <w:left w:val="nil"/>
          <w:bottom w:val="nil"/>
          <w:right w:val="nil"/>
          <w:between w:val="nil"/>
        </w:pBdr>
        <w:spacing w:after="0"/>
        <w:ind w:left="-90" w:right="-1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Shqyrtimi i kërkesave dhe ankesave të palëve në sektorin e arsimit </w:t>
      </w:r>
    </w:p>
    <w:p w:rsidR="0033140F" w:rsidRPr="008E7ED6" w:rsidRDefault="00095763" w:rsidP="002870A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Shqyrtimi i kërkesave dhe ankesave me shkrim  të palëve, edukatoreve, mësimdhënësve, prindërve, studentëve për vijimin e praktikës  nga kolegjet private, organizatave vendore dhe ndërkombëtare, drejtorive  të linjës në kuadër të komunës dhe mediave. </w:t>
      </w:r>
    </w:p>
    <w:p w:rsidR="0033140F" w:rsidRPr="009E1BAB" w:rsidRDefault="00095763" w:rsidP="009E1B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Formi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mi i komisionit në kuadër të DKA-së për shqyrtimin e ankesave dhe kërkesave të palëve nga marrëdhënia juridike e punës, i cili i ka shqyrtuar shtatë lëndët të cilat i janë adresuar komisionit.</w:t>
      </w:r>
    </w:p>
    <w:p w:rsidR="0033140F" w:rsidRDefault="00095763" w:rsidP="009E1BAB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Raporti i zyrës së financave, për periudhën kohore janar-maj 2</w:t>
      </w:r>
      <w:r w:rsidRPr="008E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022</w:t>
      </w:r>
    </w:p>
    <w:p w:rsidR="00D2652C" w:rsidRPr="008E7ED6" w:rsidRDefault="00D2652C" w:rsidP="009E1BAB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0"/>
        <w:tblW w:w="95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1440"/>
        <w:gridCol w:w="1170"/>
        <w:gridCol w:w="1260"/>
        <w:gridCol w:w="1260"/>
        <w:gridCol w:w="900"/>
        <w:gridCol w:w="990"/>
        <w:gridCol w:w="1440"/>
      </w:tblGrid>
      <w:tr w:rsidR="009E1BAB" w:rsidRPr="009E1BAB" w:rsidTr="003C4644">
        <w:tc>
          <w:tcPr>
            <w:tcW w:w="108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Përshkrimi</w:t>
            </w:r>
          </w:p>
        </w:tc>
        <w:tc>
          <w:tcPr>
            <w:tcW w:w="144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Kategoria</w:t>
            </w:r>
          </w:p>
        </w:tc>
        <w:tc>
          <w:tcPr>
            <w:tcW w:w="117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Planifikimi</w:t>
            </w:r>
          </w:p>
        </w:tc>
        <w:tc>
          <w:tcPr>
            <w:tcW w:w="126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Alokimi</w:t>
            </w:r>
          </w:p>
        </w:tc>
        <w:tc>
          <w:tcPr>
            <w:tcW w:w="126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Shpenzimi</w:t>
            </w:r>
          </w:p>
        </w:tc>
        <w:tc>
          <w:tcPr>
            <w:tcW w:w="90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Përqindja</w:t>
            </w:r>
          </w:p>
        </w:tc>
        <w:tc>
          <w:tcPr>
            <w:tcW w:w="99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Përqindja</w:t>
            </w:r>
          </w:p>
        </w:tc>
        <w:tc>
          <w:tcPr>
            <w:tcW w:w="144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Vërejtje</w:t>
            </w:r>
          </w:p>
        </w:tc>
      </w:tr>
      <w:tr w:rsidR="009E1BAB" w:rsidRPr="009E1BAB" w:rsidTr="003C4644">
        <w:tc>
          <w:tcPr>
            <w:tcW w:w="108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b/>
                <w:color w:val="000000"/>
              </w:rPr>
            </w:pPr>
          </w:p>
        </w:tc>
        <w:tc>
          <w:tcPr>
            <w:tcW w:w="144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b/>
                <w:color w:val="000000"/>
              </w:rPr>
            </w:pPr>
            <w:r w:rsidRPr="009E1BAB">
              <w:rPr>
                <w:rFonts w:eastAsia="Calibri"/>
                <w:b/>
                <w:color w:val="000000"/>
              </w:rPr>
              <w:t>Paga</w:t>
            </w:r>
          </w:p>
        </w:tc>
        <w:tc>
          <w:tcPr>
            <w:tcW w:w="117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b/>
                <w:color w:val="000000"/>
              </w:rPr>
            </w:pPr>
            <w:r w:rsidRPr="009E1BAB">
              <w:rPr>
                <w:rFonts w:eastAsia="Calibri"/>
                <w:b/>
                <w:color w:val="000000"/>
              </w:rPr>
              <w:t>4,702,209.70</w:t>
            </w:r>
          </w:p>
        </w:tc>
        <w:tc>
          <w:tcPr>
            <w:tcW w:w="126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b/>
                <w:color w:val="000000"/>
              </w:rPr>
            </w:pPr>
            <w:r w:rsidRPr="009E1BAB">
              <w:rPr>
                <w:rFonts w:eastAsia="Calibri"/>
                <w:b/>
                <w:color w:val="000000"/>
              </w:rPr>
              <w:t>4,702,209.70</w:t>
            </w:r>
          </w:p>
        </w:tc>
        <w:tc>
          <w:tcPr>
            <w:tcW w:w="126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b/>
                <w:color w:val="000000"/>
              </w:rPr>
            </w:pPr>
            <w:r w:rsidRPr="009E1BAB">
              <w:rPr>
                <w:rFonts w:eastAsia="Calibri"/>
                <w:b/>
                <w:color w:val="000000"/>
              </w:rPr>
              <w:t>4,411,072.70</w:t>
            </w:r>
          </w:p>
        </w:tc>
        <w:tc>
          <w:tcPr>
            <w:tcW w:w="90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b/>
                <w:color w:val="000000"/>
              </w:rPr>
            </w:pPr>
            <w:r w:rsidRPr="009E1BAB">
              <w:rPr>
                <w:rFonts w:eastAsia="Calibri"/>
                <w:b/>
                <w:color w:val="000000"/>
              </w:rPr>
              <w:t>93.81</w:t>
            </w:r>
          </w:p>
        </w:tc>
        <w:tc>
          <w:tcPr>
            <w:tcW w:w="990" w:type="dxa"/>
          </w:tcPr>
          <w:p w:rsidR="0033140F" w:rsidRPr="009E1BAB" w:rsidRDefault="00095763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b/>
                <w:color w:val="000000"/>
              </w:rPr>
            </w:pPr>
            <w:r w:rsidRPr="009E1BAB">
              <w:rPr>
                <w:rFonts w:eastAsia="Calibri"/>
                <w:b/>
                <w:color w:val="000000"/>
              </w:rPr>
              <w:t>93.81</w:t>
            </w:r>
          </w:p>
        </w:tc>
        <w:tc>
          <w:tcPr>
            <w:tcW w:w="144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b/>
                <w:color w:val="000000"/>
              </w:rPr>
            </w:pPr>
          </w:p>
        </w:tc>
      </w:tr>
      <w:tr w:rsidR="009E1BAB" w:rsidRPr="009E1BAB" w:rsidTr="003C4644">
        <w:tc>
          <w:tcPr>
            <w:tcW w:w="108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44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Shërbime dhe mallra 10</w:t>
            </w:r>
          </w:p>
        </w:tc>
        <w:tc>
          <w:tcPr>
            <w:tcW w:w="117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797.570.00</w:t>
            </w:r>
          </w:p>
        </w:tc>
        <w:tc>
          <w:tcPr>
            <w:tcW w:w="126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797,570.00</w:t>
            </w:r>
          </w:p>
        </w:tc>
        <w:tc>
          <w:tcPr>
            <w:tcW w:w="126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540,183.55</w:t>
            </w:r>
          </w:p>
        </w:tc>
        <w:tc>
          <w:tcPr>
            <w:tcW w:w="90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67.73</w:t>
            </w:r>
          </w:p>
        </w:tc>
        <w:tc>
          <w:tcPr>
            <w:tcW w:w="990" w:type="dxa"/>
          </w:tcPr>
          <w:p w:rsidR="0033140F" w:rsidRPr="009E1BAB" w:rsidRDefault="00095763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67.73</w:t>
            </w:r>
          </w:p>
        </w:tc>
        <w:tc>
          <w:tcPr>
            <w:tcW w:w="144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</w:tr>
      <w:tr w:rsidR="009E1BAB" w:rsidRPr="009E1BAB" w:rsidTr="003C4644">
        <w:tc>
          <w:tcPr>
            <w:tcW w:w="108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44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Komunali 10</w:t>
            </w:r>
          </w:p>
        </w:tc>
        <w:tc>
          <w:tcPr>
            <w:tcW w:w="117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59,540.00</w:t>
            </w:r>
          </w:p>
        </w:tc>
        <w:tc>
          <w:tcPr>
            <w:tcW w:w="126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59,540.00</w:t>
            </w:r>
          </w:p>
        </w:tc>
        <w:tc>
          <w:tcPr>
            <w:tcW w:w="126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51,098.65</w:t>
            </w:r>
          </w:p>
        </w:tc>
        <w:tc>
          <w:tcPr>
            <w:tcW w:w="90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85.82</w:t>
            </w:r>
          </w:p>
        </w:tc>
        <w:tc>
          <w:tcPr>
            <w:tcW w:w="990" w:type="dxa"/>
          </w:tcPr>
          <w:p w:rsidR="0033140F" w:rsidRPr="009E1BAB" w:rsidRDefault="00095763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85.82</w:t>
            </w:r>
          </w:p>
        </w:tc>
        <w:tc>
          <w:tcPr>
            <w:tcW w:w="144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</w:tr>
      <w:tr w:rsidR="009E1BAB" w:rsidRPr="009E1BAB" w:rsidTr="003C4644">
        <w:tc>
          <w:tcPr>
            <w:tcW w:w="108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44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Subvencione 10</w:t>
            </w:r>
          </w:p>
        </w:tc>
        <w:tc>
          <w:tcPr>
            <w:tcW w:w="117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26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26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90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99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44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</w:tr>
      <w:tr w:rsidR="009E1BAB" w:rsidRPr="009E1BAB" w:rsidTr="003C4644">
        <w:tc>
          <w:tcPr>
            <w:tcW w:w="108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44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Kapitale -10</w:t>
            </w:r>
          </w:p>
        </w:tc>
        <w:tc>
          <w:tcPr>
            <w:tcW w:w="117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100.000.00</w:t>
            </w:r>
          </w:p>
        </w:tc>
        <w:tc>
          <w:tcPr>
            <w:tcW w:w="126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100,000.00</w:t>
            </w:r>
          </w:p>
        </w:tc>
        <w:tc>
          <w:tcPr>
            <w:tcW w:w="1260" w:type="dxa"/>
          </w:tcPr>
          <w:p w:rsidR="0033140F" w:rsidRPr="009E1BAB" w:rsidRDefault="00095763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60,236.87</w:t>
            </w:r>
          </w:p>
        </w:tc>
        <w:tc>
          <w:tcPr>
            <w:tcW w:w="90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60.24</w:t>
            </w:r>
          </w:p>
        </w:tc>
        <w:tc>
          <w:tcPr>
            <w:tcW w:w="990" w:type="dxa"/>
          </w:tcPr>
          <w:p w:rsidR="0033140F" w:rsidRPr="009E1BAB" w:rsidRDefault="00095763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60.24</w:t>
            </w:r>
          </w:p>
        </w:tc>
        <w:tc>
          <w:tcPr>
            <w:tcW w:w="144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</w:tr>
      <w:tr w:rsidR="009E1BAB" w:rsidRPr="009E1BAB" w:rsidTr="003C4644">
        <w:tc>
          <w:tcPr>
            <w:tcW w:w="1080" w:type="dxa"/>
          </w:tcPr>
          <w:p w:rsidR="0033140F" w:rsidRPr="009E1BAB" w:rsidRDefault="00095763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46</w:t>
            </w:r>
          </w:p>
        </w:tc>
        <w:tc>
          <w:tcPr>
            <w:tcW w:w="144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Paga</w:t>
            </w:r>
          </w:p>
        </w:tc>
        <w:tc>
          <w:tcPr>
            <w:tcW w:w="117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26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4,949.61</w:t>
            </w:r>
          </w:p>
        </w:tc>
        <w:tc>
          <w:tcPr>
            <w:tcW w:w="1260" w:type="dxa"/>
          </w:tcPr>
          <w:p w:rsidR="0033140F" w:rsidRPr="009E1BAB" w:rsidRDefault="00095763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4,949.61</w:t>
            </w:r>
          </w:p>
        </w:tc>
        <w:tc>
          <w:tcPr>
            <w:tcW w:w="90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100.00</w:t>
            </w:r>
          </w:p>
        </w:tc>
        <w:tc>
          <w:tcPr>
            <w:tcW w:w="99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44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 xml:space="preserve">Save the </w:t>
            </w:r>
            <w:r w:rsidR="00DC3424">
              <w:rPr>
                <w:rFonts w:eastAsia="Calibri"/>
                <w:color w:val="000000"/>
              </w:rPr>
              <w:t>Childre</w:t>
            </w:r>
            <w:r w:rsidRPr="009E1BAB">
              <w:rPr>
                <w:rFonts w:eastAsia="Calibri"/>
                <w:color w:val="000000"/>
              </w:rPr>
              <w:t>n</w:t>
            </w:r>
          </w:p>
        </w:tc>
      </w:tr>
      <w:tr w:rsidR="009E1BAB" w:rsidRPr="009E1BAB" w:rsidTr="003C4644">
        <w:tc>
          <w:tcPr>
            <w:tcW w:w="1080" w:type="dxa"/>
          </w:tcPr>
          <w:p w:rsidR="0033140F" w:rsidRPr="009E1BAB" w:rsidRDefault="00095763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31</w:t>
            </w:r>
          </w:p>
        </w:tc>
        <w:tc>
          <w:tcPr>
            <w:tcW w:w="144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Shërbime dhe mallra</w:t>
            </w:r>
          </w:p>
        </w:tc>
        <w:tc>
          <w:tcPr>
            <w:tcW w:w="117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26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26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90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99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44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OJQ VoRAE-Rome</w:t>
            </w:r>
          </w:p>
        </w:tc>
      </w:tr>
      <w:tr w:rsidR="009E1BAB" w:rsidRPr="009E1BAB" w:rsidTr="003C4644">
        <w:tc>
          <w:tcPr>
            <w:tcW w:w="1080" w:type="dxa"/>
          </w:tcPr>
          <w:p w:rsidR="0033140F" w:rsidRPr="009E1BAB" w:rsidRDefault="00095763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4</w:t>
            </w:r>
          </w:p>
        </w:tc>
        <w:tc>
          <w:tcPr>
            <w:tcW w:w="144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Shërbime dhe mallra</w:t>
            </w:r>
          </w:p>
        </w:tc>
        <w:tc>
          <w:tcPr>
            <w:tcW w:w="117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26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26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90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99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44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Banka Botërore</w:t>
            </w:r>
          </w:p>
        </w:tc>
      </w:tr>
      <w:tr w:rsidR="009E1BAB" w:rsidRPr="009E1BAB" w:rsidTr="003C4644">
        <w:tc>
          <w:tcPr>
            <w:tcW w:w="108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  <w:tc>
          <w:tcPr>
            <w:tcW w:w="1440" w:type="dxa"/>
          </w:tcPr>
          <w:p w:rsidR="0033140F" w:rsidRPr="009E1BAB" w:rsidRDefault="00095763" w:rsidP="0062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T</w:t>
            </w:r>
            <w:r w:rsidR="00621EDF">
              <w:rPr>
                <w:rFonts w:eastAsia="Calibri"/>
                <w:color w:val="000000"/>
              </w:rPr>
              <w:t>o</w:t>
            </w:r>
            <w:r w:rsidRPr="009E1BAB">
              <w:rPr>
                <w:rFonts w:eastAsia="Calibri"/>
                <w:color w:val="000000"/>
              </w:rPr>
              <w:t>tali</w:t>
            </w:r>
          </w:p>
        </w:tc>
        <w:tc>
          <w:tcPr>
            <w:tcW w:w="117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5,659,319.70</w:t>
            </w:r>
          </w:p>
        </w:tc>
        <w:tc>
          <w:tcPr>
            <w:tcW w:w="1260" w:type="dxa"/>
          </w:tcPr>
          <w:p w:rsidR="0033140F" w:rsidRPr="009E1BAB" w:rsidRDefault="00095763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5,664,269.31</w:t>
            </w:r>
          </w:p>
        </w:tc>
        <w:tc>
          <w:tcPr>
            <w:tcW w:w="1260" w:type="dxa"/>
          </w:tcPr>
          <w:p w:rsidR="0033140F" w:rsidRPr="009E1BAB" w:rsidRDefault="00095763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5,067,541.38</w:t>
            </w:r>
          </w:p>
        </w:tc>
        <w:tc>
          <w:tcPr>
            <w:tcW w:w="90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89.47</w:t>
            </w:r>
          </w:p>
        </w:tc>
        <w:tc>
          <w:tcPr>
            <w:tcW w:w="990" w:type="dxa"/>
          </w:tcPr>
          <w:p w:rsidR="0033140F" w:rsidRPr="009E1BAB" w:rsidRDefault="00095763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89.54</w:t>
            </w:r>
          </w:p>
        </w:tc>
        <w:tc>
          <w:tcPr>
            <w:tcW w:w="144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</w:p>
        </w:tc>
      </w:tr>
      <w:tr w:rsidR="009E1BAB" w:rsidRPr="009E1BAB" w:rsidTr="003C4644">
        <w:tc>
          <w:tcPr>
            <w:tcW w:w="1080" w:type="dxa"/>
          </w:tcPr>
          <w:p w:rsidR="0033140F" w:rsidRPr="009E1BAB" w:rsidRDefault="00095763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color w:val="000000"/>
              </w:rPr>
            </w:pPr>
            <w:r w:rsidRPr="009E1BAB">
              <w:rPr>
                <w:rFonts w:eastAsia="Calibri"/>
                <w:color w:val="000000"/>
              </w:rPr>
              <w:t>Të hyrat</w:t>
            </w:r>
          </w:p>
        </w:tc>
        <w:tc>
          <w:tcPr>
            <w:tcW w:w="144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b/>
                <w:color w:val="000000"/>
              </w:rPr>
            </w:pPr>
          </w:p>
        </w:tc>
        <w:tc>
          <w:tcPr>
            <w:tcW w:w="117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b/>
                <w:color w:val="000000"/>
              </w:rPr>
            </w:pPr>
            <w:r w:rsidRPr="009E1BAB">
              <w:rPr>
                <w:rFonts w:eastAsia="Calibri"/>
                <w:b/>
                <w:color w:val="000000"/>
              </w:rPr>
              <w:t>37,350.00</w:t>
            </w:r>
          </w:p>
        </w:tc>
        <w:tc>
          <w:tcPr>
            <w:tcW w:w="126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b/>
                <w:color w:val="000000"/>
              </w:rPr>
            </w:pPr>
          </w:p>
        </w:tc>
        <w:tc>
          <w:tcPr>
            <w:tcW w:w="126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b/>
                <w:color w:val="000000"/>
              </w:rPr>
            </w:pPr>
            <w:r w:rsidRPr="009E1BAB">
              <w:rPr>
                <w:rFonts w:eastAsia="Calibri"/>
                <w:b/>
                <w:color w:val="000000"/>
              </w:rPr>
              <w:t>59,634.40</w:t>
            </w:r>
          </w:p>
        </w:tc>
        <w:tc>
          <w:tcPr>
            <w:tcW w:w="900" w:type="dxa"/>
          </w:tcPr>
          <w:p w:rsidR="0033140F" w:rsidRPr="009E1BAB" w:rsidRDefault="0033140F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b/>
                <w:color w:val="000000"/>
              </w:rPr>
            </w:pPr>
          </w:p>
        </w:tc>
        <w:tc>
          <w:tcPr>
            <w:tcW w:w="990" w:type="dxa"/>
          </w:tcPr>
          <w:p w:rsidR="0033140F" w:rsidRPr="009E1BAB" w:rsidRDefault="00095763" w:rsidP="009E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80"/>
              <w:rPr>
                <w:rFonts w:eastAsia="Calibri"/>
                <w:b/>
                <w:color w:val="000000"/>
              </w:rPr>
            </w:pPr>
            <w:r w:rsidRPr="009E1BAB">
              <w:rPr>
                <w:rFonts w:eastAsia="Calibri"/>
                <w:b/>
                <w:color w:val="000000"/>
              </w:rPr>
              <w:t>159.66</w:t>
            </w:r>
          </w:p>
        </w:tc>
        <w:tc>
          <w:tcPr>
            <w:tcW w:w="1440" w:type="dxa"/>
          </w:tcPr>
          <w:p w:rsidR="0033140F" w:rsidRPr="009E1BAB" w:rsidRDefault="00095763" w:rsidP="0028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-180"/>
              <w:rPr>
                <w:rFonts w:eastAsia="Calibri"/>
                <w:b/>
                <w:color w:val="000000"/>
              </w:rPr>
            </w:pPr>
            <w:r w:rsidRPr="009E1BAB">
              <w:rPr>
                <w:rFonts w:eastAsia="Calibri"/>
                <w:b/>
                <w:color w:val="000000"/>
              </w:rPr>
              <w:t>Realizimi</w:t>
            </w:r>
          </w:p>
        </w:tc>
      </w:tr>
    </w:tbl>
    <w:p w:rsidR="0033140F" w:rsidRPr="008E7ED6" w:rsidRDefault="0033140F" w:rsidP="002870A3">
      <w:pPr>
        <w:spacing w:after="160"/>
        <w:ind w:left="270" w:right="-1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140F" w:rsidRPr="008E7ED6" w:rsidRDefault="00095763" w:rsidP="002870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Shqyrtimi i kërkesave të ndryshme.</w:t>
      </w:r>
    </w:p>
    <w:p w:rsidR="0033140F" w:rsidRPr="008E7ED6" w:rsidRDefault="00095763" w:rsidP="002870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Janë proceduar aktivitete të ndryshme në Prokurim.</w:t>
      </w:r>
    </w:p>
    <w:p w:rsidR="0033140F" w:rsidRPr="008E7ED6" w:rsidRDefault="00095763" w:rsidP="002870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Kërkesat për furnizim, tridhjetë (30).</w:t>
      </w:r>
    </w:p>
    <w:p w:rsidR="0033140F" w:rsidRPr="008E7ED6" w:rsidRDefault="00095763" w:rsidP="002870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Pranimi i faturave dhe regjistrimi në sistemin E-financa, njëqind e njëzet e shtatë (127) lëndë.</w:t>
      </w:r>
    </w:p>
    <w:p w:rsidR="0033140F" w:rsidRPr="008E7ED6" w:rsidRDefault="00095763" w:rsidP="002870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Janë regjistruar njëmijë 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gjashtëqin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nëntëdhjetë e  shtatë (1697) lëndë në kontabilitet,</w:t>
      </w:r>
    </w:p>
    <w:p w:rsidR="0033140F" w:rsidRPr="008E7ED6" w:rsidRDefault="00095763" w:rsidP="002870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Janë kryer barazimet me shkollat dhe DKA si dhe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bookmarkStart w:id="1" w:name="_GoBack"/>
      <w:bookmarkEnd w:id="1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ecifikacionet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lokimit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mjeteve nga   shkollat.</w:t>
      </w:r>
    </w:p>
    <w:p w:rsidR="0033140F" w:rsidRPr="008E7ED6" w:rsidRDefault="00095763" w:rsidP="002870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Alokimi i mjeteve nga donacionet.</w:t>
      </w:r>
    </w:p>
    <w:p w:rsidR="0033140F" w:rsidRPr="008E7ED6" w:rsidRDefault="00095763" w:rsidP="002870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 i shkollave - pushimet mjekësore.</w:t>
      </w:r>
    </w:p>
    <w:p w:rsidR="0033140F" w:rsidRDefault="00095763" w:rsidP="002870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Auditimi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brendshëm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i jashtëm.</w:t>
      </w:r>
    </w:p>
    <w:p w:rsidR="003C3BB6" w:rsidRPr="008E7ED6" w:rsidRDefault="003C3BB6" w:rsidP="003C3BB6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40F" w:rsidRPr="008E7ED6" w:rsidRDefault="00095763" w:rsidP="002870A3">
      <w:pPr>
        <w:ind w:left="270" w:right="-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Sektori për Punë të Përgjithshme Juridike dhe Personel në Arsim</w:t>
      </w:r>
    </w:p>
    <w:p w:rsidR="0033140F" w:rsidRPr="008E7ED6" w:rsidRDefault="00095763" w:rsidP="0028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Vendime/Aktvendime të ndryshme, 96</w:t>
      </w:r>
    </w:p>
    <w:p w:rsidR="0033140F" w:rsidRPr="008E7ED6" w:rsidRDefault="00095763" w:rsidP="0028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Hartim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i dhe përgjigjet në kërkesa/parashtresa ndaj palëve dhe subjekteve të tjera, 115</w:t>
      </w:r>
    </w:p>
    <w:p w:rsidR="0033140F" w:rsidRPr="008E7ED6" w:rsidRDefault="00095763" w:rsidP="0028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Hartimi i kontratave të punës, 124</w:t>
      </w:r>
    </w:p>
    <w:p w:rsidR="0033140F" w:rsidRPr="008E7ED6" w:rsidRDefault="00095763" w:rsidP="0028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Hartimi i akteve të tjera shkresore, 104</w:t>
      </w:r>
    </w:p>
    <w:p w:rsidR="0033140F" w:rsidRPr="008E7ED6" w:rsidRDefault="00095763" w:rsidP="0028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Hartimi i shkresave të ndryshme, drejtuar Institucioneve brenda dhe jashtë Komunës së Gjilanit, 55</w:t>
      </w:r>
    </w:p>
    <w:p w:rsidR="0033140F" w:rsidRPr="008E7ED6" w:rsidRDefault="00095763" w:rsidP="0028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Hartimi dhe shpallja e konkurseve, 5. </w:t>
      </w:r>
    </w:p>
    <w:p w:rsidR="0033140F" w:rsidRPr="008E7ED6" w:rsidRDefault="00095763" w:rsidP="0028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Përgatitja, plotësimi dhe procedimi i formularëve për ndryshimet në listat e pagave, drejtuar thesarit në kuadër të Ministrisë së Financave, Punës dhe </w:t>
      </w:r>
      <w:proofErr w:type="spellStart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Transfereve</w:t>
      </w:r>
      <w:proofErr w:type="spellEnd"/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326. </w:t>
      </w:r>
    </w:p>
    <w:p w:rsidR="0033140F" w:rsidRPr="008E7ED6" w:rsidRDefault="00095763" w:rsidP="0028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Përmes Qendrës për Shërbime me Qytetarë janë pranuar dhe protokolluar 215 lëndë, drejtuar Drejtorisë Komunale të Arsimit. </w:t>
      </w:r>
    </w:p>
    <w:p w:rsidR="0033140F" w:rsidRPr="008E7ED6" w:rsidRDefault="00095763" w:rsidP="0028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Hartimi i Projekt Rregullores për Marrëdhënien Juridike të Punës në Institucionet Edukativo Arsimore dhe Aftësuese.</w:t>
      </w:r>
    </w:p>
    <w:p w:rsidR="0033140F" w:rsidRPr="008E7ED6" w:rsidRDefault="00095763" w:rsidP="0028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Hartimi i Projekt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Rregullores për Përgjegjësinë Disiplinore dhe Materiale të Punonjësve në Institucionet Edukativo Arsimore dhe Aftësuese.</w:t>
      </w:r>
    </w:p>
    <w:p w:rsidR="0033140F" w:rsidRPr="008E7ED6" w:rsidRDefault="00095763" w:rsidP="0028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Hartimi i Projekt  Rregullores për mbështetjen financiare - bursave të posaçme për studentët e shkëlqyer të Komunës së Gjilanit, që st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udiojnë  jashtë shtetit të Republikës së Kosovës (Fondi i Ekselencës). </w:t>
      </w:r>
    </w:p>
    <w:p w:rsidR="0033140F" w:rsidRPr="008E7ED6" w:rsidRDefault="00095763" w:rsidP="0028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 i brendshëm i dëgjimeve publike për Projekt Rregulloret.</w:t>
      </w:r>
    </w:p>
    <w:p w:rsidR="0033140F" w:rsidRPr="008E7ED6" w:rsidRDefault="00095763" w:rsidP="0028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Mbajtja e një takimi me Sekretarët dhe Administratorët e të gjitha Institucioneve Edukativo Arsimore dhe Aftësuese l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idhur me  çështjet ligjore administrative të cilat ndërlidhen me detyrat  dhe përgjegjësitë ndërmjet  DKA-së dhe IEA-ve.</w:t>
      </w:r>
    </w:p>
    <w:p w:rsidR="0033140F" w:rsidRPr="008E7ED6" w:rsidRDefault="00095763" w:rsidP="0028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Ofrimi i dokumentacionit dhe bashkëpunimi me auditorin e jashtëm dhe të brendshëm. </w:t>
      </w:r>
    </w:p>
    <w:p w:rsidR="0033140F" w:rsidRPr="00CD4A3F" w:rsidRDefault="00095763" w:rsidP="00CD4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Asistimi në aspektin organizativ dhe ligjor për për</w:t>
      </w:r>
      <w:r w:rsidRPr="008E7ED6">
        <w:rPr>
          <w:rFonts w:ascii="Times New Roman" w:eastAsia="Times New Roman" w:hAnsi="Times New Roman" w:cs="Times New Roman"/>
          <w:color w:val="000000"/>
          <w:sz w:val="24"/>
          <w:szCs w:val="24"/>
        </w:rPr>
        <w:t>zgjedhjen e Këshillit të Prindërve në nivel të Komunës.</w:t>
      </w:r>
    </w:p>
    <w:p w:rsidR="00DE4B96" w:rsidRDefault="00DE4B96" w:rsidP="00184017">
      <w:pPr>
        <w:pBdr>
          <w:top w:val="nil"/>
          <w:left w:val="nil"/>
          <w:bottom w:val="nil"/>
          <w:right w:val="nil"/>
          <w:between w:val="nil"/>
        </w:pBdr>
        <w:spacing w:after="160"/>
        <w:ind w:left="-90" w:right="-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4B96" w:rsidRDefault="00DE4B96" w:rsidP="00184017">
      <w:pPr>
        <w:pBdr>
          <w:top w:val="nil"/>
          <w:left w:val="nil"/>
          <w:bottom w:val="nil"/>
          <w:right w:val="nil"/>
          <w:between w:val="nil"/>
        </w:pBdr>
        <w:spacing w:after="160"/>
        <w:ind w:left="-90" w:right="-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140F" w:rsidRPr="008E7ED6" w:rsidRDefault="00095763" w:rsidP="00184017">
      <w:pPr>
        <w:pBdr>
          <w:top w:val="nil"/>
          <w:left w:val="nil"/>
          <w:bottom w:val="nil"/>
          <w:right w:val="nil"/>
          <w:between w:val="nil"/>
        </w:pBdr>
        <w:spacing w:after="160"/>
        <w:ind w:left="-90" w:right="-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7E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SHTOJCA Nr.1</w:t>
      </w:r>
    </w:p>
    <w:p w:rsidR="0033140F" w:rsidRPr="00184017" w:rsidRDefault="00095763" w:rsidP="00184017">
      <w:pPr>
        <w:pBdr>
          <w:top w:val="nil"/>
          <w:left w:val="nil"/>
          <w:bottom w:val="nil"/>
          <w:right w:val="nil"/>
          <w:between w:val="nil"/>
        </w:pBdr>
        <w:spacing w:after="160"/>
        <w:ind w:left="-90" w:right="-180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18401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AKRONIMET</w:t>
      </w:r>
    </w:p>
    <w:p w:rsidR="0033140F" w:rsidRPr="004B3C64" w:rsidRDefault="00095763" w:rsidP="00CB3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AAP</w:t>
      </w: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Arsimi dhe Aftësimi Profesional</w:t>
      </w:r>
    </w:p>
    <w:p w:rsidR="0033140F" w:rsidRPr="004B3C64" w:rsidRDefault="00095763" w:rsidP="00CB3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DKA</w:t>
      </w: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Drejtoria Komunale e Arsimit</w:t>
      </w:r>
    </w:p>
    <w:p w:rsidR="0033140F" w:rsidRPr="004B3C64" w:rsidRDefault="00095763" w:rsidP="00CB3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FNV</w:t>
      </w: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Fëmijë me Nevoja të Veçanta</w:t>
      </w:r>
    </w:p>
    <w:p w:rsidR="0033140F" w:rsidRPr="004B3C64" w:rsidRDefault="00095763" w:rsidP="00CB3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IAAP </w:t>
      </w: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– Institucioni i Arsimit dhe Aftësimit Profesional</w:t>
      </w:r>
    </w:p>
    <w:p w:rsidR="0033140F" w:rsidRPr="004B3C64" w:rsidRDefault="00095763" w:rsidP="00CB3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IEA</w:t>
      </w: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- Institucione Edukativo Arsimore</w:t>
      </w:r>
    </w:p>
    <w:p w:rsidR="0033140F" w:rsidRPr="004B3C64" w:rsidRDefault="00095763" w:rsidP="00CB3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MASHTI</w:t>
      </w: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B644D6"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Ministria</w:t>
      </w: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Arsimit Shkencës Teknologjisë dhe Inovacionit</w:t>
      </w:r>
    </w:p>
    <w:p w:rsidR="0033140F" w:rsidRPr="004B3C64" w:rsidRDefault="00095763" w:rsidP="00CB3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PV –</w:t>
      </w: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Plani i Veprimit</w:t>
      </w:r>
    </w:p>
    <w:p w:rsidR="0033140F" w:rsidRPr="004B3C64" w:rsidRDefault="00095763" w:rsidP="00CB3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RAE –</w:t>
      </w: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Roma </w:t>
      </w:r>
      <w:proofErr w:type="spellStart"/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Ashkalinjë</w:t>
      </w:r>
      <w:proofErr w:type="spellEnd"/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Egjiptian</w:t>
      </w:r>
    </w:p>
    <w:p w:rsidR="0033140F" w:rsidRPr="004B3C64" w:rsidRDefault="00095763" w:rsidP="00CB3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QBK </w:t>
      </w: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– Qendra me Bazë në Komunitet</w:t>
      </w:r>
    </w:p>
    <w:p w:rsidR="0033140F" w:rsidRPr="004B3C64" w:rsidRDefault="00095763" w:rsidP="00CB3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QHZHFH</w:t>
      </w: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Qendra Humane për Zhvillimin e Fëmijërisë së Hershme</w:t>
      </w:r>
    </w:p>
    <w:p w:rsidR="0033140F" w:rsidRPr="004B3C64" w:rsidRDefault="00095763" w:rsidP="00CB3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SHMLA </w:t>
      </w: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– Shkollat e Mesme te Larta Aftësuese</w:t>
      </w:r>
    </w:p>
    <w:p w:rsidR="0033140F" w:rsidRPr="004B3C64" w:rsidRDefault="00095763" w:rsidP="00CB3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 </w:t>
      </w: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– Udhëzim Administrativ</w:t>
      </w:r>
    </w:p>
    <w:p w:rsidR="0033140F" w:rsidRPr="004B3C64" w:rsidRDefault="00095763" w:rsidP="00CB3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>ZHPM</w:t>
      </w:r>
      <w:r w:rsidRPr="004B3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Zhvillimi Profesional i Mësimdhënësve </w:t>
      </w:r>
    </w:p>
    <w:sectPr w:rsidR="0033140F" w:rsidRPr="004B3C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AF9"/>
    <w:multiLevelType w:val="multilevel"/>
    <w:tmpl w:val="30F0B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FC1AA0"/>
    <w:multiLevelType w:val="multilevel"/>
    <w:tmpl w:val="45846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718A"/>
    <w:multiLevelType w:val="multilevel"/>
    <w:tmpl w:val="F31298D0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"/>
      <w:lvlJc w:val="left"/>
      <w:pPr>
        <w:ind w:left="810" w:hanging="720"/>
      </w:pPr>
    </w:lvl>
    <w:lvl w:ilvl="3">
      <w:start w:val="1"/>
      <w:numFmt w:val="decimal"/>
      <w:lvlText w:val="●.●.%3.%4"/>
      <w:lvlJc w:val="left"/>
      <w:pPr>
        <w:ind w:left="810" w:hanging="720"/>
      </w:pPr>
    </w:lvl>
    <w:lvl w:ilvl="4">
      <w:start w:val="1"/>
      <w:numFmt w:val="decimal"/>
      <w:lvlText w:val="●.●.%3.%4.%5"/>
      <w:lvlJc w:val="left"/>
      <w:pPr>
        <w:ind w:left="1170" w:hanging="1080"/>
      </w:pPr>
    </w:lvl>
    <w:lvl w:ilvl="5">
      <w:start w:val="1"/>
      <w:numFmt w:val="decimal"/>
      <w:lvlText w:val="●.●.%3.%4.%5.%6"/>
      <w:lvlJc w:val="left"/>
      <w:pPr>
        <w:ind w:left="1170" w:hanging="1080"/>
      </w:pPr>
    </w:lvl>
    <w:lvl w:ilvl="6">
      <w:start w:val="1"/>
      <w:numFmt w:val="decimal"/>
      <w:lvlText w:val="●.●.%3.%4.%5.%6.%7"/>
      <w:lvlJc w:val="left"/>
      <w:pPr>
        <w:ind w:left="1530" w:hanging="1440"/>
      </w:pPr>
    </w:lvl>
    <w:lvl w:ilvl="7">
      <w:start w:val="1"/>
      <w:numFmt w:val="decimal"/>
      <w:lvlText w:val="●.●.%3.%4.%5.%6.%7.%8"/>
      <w:lvlJc w:val="left"/>
      <w:pPr>
        <w:ind w:left="1530" w:hanging="1440"/>
      </w:pPr>
    </w:lvl>
    <w:lvl w:ilvl="8">
      <w:start w:val="1"/>
      <w:numFmt w:val="decimal"/>
      <w:lvlText w:val="●.●.%3.%4.%5.%6.%7.%8.%9"/>
      <w:lvlJc w:val="left"/>
      <w:pPr>
        <w:ind w:left="1530" w:hanging="1440"/>
      </w:pPr>
    </w:lvl>
  </w:abstractNum>
  <w:abstractNum w:abstractNumId="3" w15:restartNumberingAfterBreak="0">
    <w:nsid w:val="25D34282"/>
    <w:multiLevelType w:val="hybridMultilevel"/>
    <w:tmpl w:val="86307DF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D2305"/>
    <w:multiLevelType w:val="multilevel"/>
    <w:tmpl w:val="7C147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081"/>
    <w:multiLevelType w:val="multilevel"/>
    <w:tmpl w:val="424E21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3F050B"/>
    <w:multiLevelType w:val="multilevel"/>
    <w:tmpl w:val="499E83A0"/>
    <w:lvl w:ilvl="0">
      <w:start w:val="1"/>
      <w:numFmt w:val="bullet"/>
      <w:lvlText w:val="▪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087D83"/>
    <w:multiLevelType w:val="multilevel"/>
    <w:tmpl w:val="C73E2BD8"/>
    <w:lvl w:ilvl="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1A4CEF"/>
    <w:multiLevelType w:val="multilevel"/>
    <w:tmpl w:val="719040D4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6E1E6C"/>
    <w:multiLevelType w:val="multilevel"/>
    <w:tmpl w:val="7D9C617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0F"/>
    <w:rsid w:val="00095763"/>
    <w:rsid w:val="000D20C2"/>
    <w:rsid w:val="001564FA"/>
    <w:rsid w:val="00184017"/>
    <w:rsid w:val="002163F5"/>
    <w:rsid w:val="00265CB2"/>
    <w:rsid w:val="0028454E"/>
    <w:rsid w:val="002870A3"/>
    <w:rsid w:val="00304EF2"/>
    <w:rsid w:val="0033140F"/>
    <w:rsid w:val="00393C20"/>
    <w:rsid w:val="003C3BB6"/>
    <w:rsid w:val="003C4644"/>
    <w:rsid w:val="004A5C0C"/>
    <w:rsid w:val="004B3C64"/>
    <w:rsid w:val="00561859"/>
    <w:rsid w:val="005B23D5"/>
    <w:rsid w:val="005C3A7E"/>
    <w:rsid w:val="00612D53"/>
    <w:rsid w:val="0061739A"/>
    <w:rsid w:val="00621EDF"/>
    <w:rsid w:val="00675B35"/>
    <w:rsid w:val="007335B2"/>
    <w:rsid w:val="00781C39"/>
    <w:rsid w:val="0078509D"/>
    <w:rsid w:val="0079293A"/>
    <w:rsid w:val="00793474"/>
    <w:rsid w:val="007D020D"/>
    <w:rsid w:val="007F3320"/>
    <w:rsid w:val="0087781E"/>
    <w:rsid w:val="008B72FC"/>
    <w:rsid w:val="008E7ED6"/>
    <w:rsid w:val="008F6628"/>
    <w:rsid w:val="009124E8"/>
    <w:rsid w:val="009A1141"/>
    <w:rsid w:val="009E1BAB"/>
    <w:rsid w:val="00A1000C"/>
    <w:rsid w:val="00A173AF"/>
    <w:rsid w:val="00A246CE"/>
    <w:rsid w:val="00A63719"/>
    <w:rsid w:val="00A75633"/>
    <w:rsid w:val="00A91622"/>
    <w:rsid w:val="00B61623"/>
    <w:rsid w:val="00B644D6"/>
    <w:rsid w:val="00B95D4D"/>
    <w:rsid w:val="00C06DE4"/>
    <w:rsid w:val="00C3054E"/>
    <w:rsid w:val="00C55014"/>
    <w:rsid w:val="00CB3253"/>
    <w:rsid w:val="00CD4A3F"/>
    <w:rsid w:val="00CE32F1"/>
    <w:rsid w:val="00D2652C"/>
    <w:rsid w:val="00D36669"/>
    <w:rsid w:val="00D62688"/>
    <w:rsid w:val="00DB627F"/>
    <w:rsid w:val="00DC3424"/>
    <w:rsid w:val="00DE4B96"/>
    <w:rsid w:val="00DE5520"/>
    <w:rsid w:val="00DF7D01"/>
    <w:rsid w:val="00E00E65"/>
    <w:rsid w:val="00E860C6"/>
    <w:rsid w:val="00EC59B9"/>
    <w:rsid w:val="00F142FE"/>
    <w:rsid w:val="00F1457C"/>
    <w:rsid w:val="00F3184E"/>
    <w:rsid w:val="00F32C78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63E6"/>
  <w15:docId w15:val="{08542834-5838-4AF2-9BB7-FCE982E5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732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60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listparagraph">
    <w:name w:val="x_msolistparagraph"/>
    <w:basedOn w:val="Normal"/>
    <w:rsid w:val="0060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DC11D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table" w:styleId="TableGrid">
    <w:name w:val="Table Grid"/>
    <w:aliases w:val="E may,vao day coi co con nho nay ngon lam http://nhatquanglan.xlphp.net/ u n"/>
    <w:basedOn w:val="TableNormal"/>
    <w:rsid w:val="000113C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113C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3F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EB"/>
    <w:rPr>
      <w:rFonts w:ascii="Tahom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394D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0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4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10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4A"/>
    <w:rPr>
      <w:lang w:val="sq-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SL9XtQIORc6ClaWG64nDHNA2+g==">AMUW2mUcaLLBWNh5qOXZFvWcE/EUvBba0WHHUwVxgMUsjUvTWrFSEe2y9GY2UMfzFlWRPV/p/tZtXCBLrIIFAFRf2HoVK4dTxEWSIctCY/Hxs3lJfnq2WIrxXbNNwZh5Y1dJ1TsQtyNj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3300</Words>
  <Characters>18811</Characters>
  <Application>Microsoft Office Word</Application>
  <DocSecurity>0</DocSecurity>
  <Lines>156</Lines>
  <Paragraphs>44</Paragraphs>
  <ScaleCrop>false</ScaleCrop>
  <Company/>
  <LinksUpToDate>false</LinksUpToDate>
  <CharactersWithSpaces>22067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72</cp:revision>
  <dcterms:created xsi:type="dcterms:W3CDTF">2022-06-22T06:45:00Z</dcterms:created>
  <dcterms:modified xsi:type="dcterms:W3CDTF">2023-04-04T07:22:00Z</dcterms:modified>
</cp:coreProperties>
</file>