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815" w:rsidRPr="008C6DC7" w:rsidRDefault="00E86815" w:rsidP="00E86815">
      <w:pPr>
        <w:rPr>
          <w:sz w:val="32"/>
          <w:szCs w:val="32"/>
          <w:lang w:val="en-US"/>
        </w:rPr>
      </w:pPr>
      <w:r>
        <w:rPr>
          <w:lang w:val="en-US"/>
        </w:rPr>
        <w:t xml:space="preserve">   </w:t>
      </w:r>
    </w:p>
    <w:tbl>
      <w:tblPr>
        <w:tblW w:w="9515" w:type="dxa"/>
        <w:tblInd w:w="108" w:type="dxa"/>
        <w:tblBorders>
          <w:top w:val="single" w:sz="8" w:space="0" w:color="4F81BD"/>
          <w:bottom w:val="single" w:sz="8" w:space="0" w:color="4F81BD"/>
        </w:tblBorders>
        <w:tblLayout w:type="fixed"/>
        <w:tblLook w:val="04A0" w:firstRow="1" w:lastRow="0" w:firstColumn="1" w:lastColumn="0" w:noHBand="0" w:noVBand="1"/>
      </w:tblPr>
      <w:tblGrid>
        <w:gridCol w:w="1620"/>
        <w:gridCol w:w="6276"/>
        <w:gridCol w:w="1619"/>
      </w:tblGrid>
      <w:tr w:rsidR="00E86815" w:rsidRPr="008C6DC7" w:rsidTr="0079766B">
        <w:trPr>
          <w:trHeight w:val="1507"/>
        </w:trPr>
        <w:tc>
          <w:tcPr>
            <w:tcW w:w="1620" w:type="dxa"/>
            <w:tcBorders>
              <w:top w:val="nil"/>
              <w:bottom w:val="single" w:sz="12" w:space="0" w:color="002060"/>
            </w:tcBorders>
            <w:shd w:val="clear" w:color="auto" w:fill="auto"/>
          </w:tcPr>
          <w:p w:rsidR="00E86815" w:rsidRPr="008C6DC7" w:rsidRDefault="00E86815" w:rsidP="0079766B">
            <w:pPr>
              <w:spacing w:line="276" w:lineRule="auto"/>
              <w:jc w:val="both"/>
              <w:rPr>
                <w:rFonts w:ascii="Calibri" w:hAnsi="Calibri" w:cs="Calibri"/>
                <w:b/>
                <w:bCs/>
                <w:sz w:val="32"/>
                <w:szCs w:val="32"/>
              </w:rPr>
            </w:pPr>
            <w:r w:rsidRPr="008C6DC7">
              <w:rPr>
                <w:rFonts w:ascii="Calibri" w:hAnsi="Calibri" w:cs="Calibri"/>
                <w:b/>
                <w:bCs/>
                <w:sz w:val="32"/>
                <w:szCs w:val="32"/>
                <w:lang w:val="en-US"/>
              </w:rPr>
              <w:drawing>
                <wp:inline distT="0" distB="0" distL="0" distR="0" wp14:anchorId="19042D9A" wp14:editId="50561A47">
                  <wp:extent cx="685800" cy="838200"/>
                  <wp:effectExtent l="0" t="0" r="0" b="0"/>
                  <wp:docPr id="5" name="Picture 5"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38200"/>
                          </a:xfrm>
                          <a:prstGeom prst="rect">
                            <a:avLst/>
                          </a:prstGeom>
                          <a:noFill/>
                          <a:ln>
                            <a:noFill/>
                          </a:ln>
                        </pic:spPr>
                      </pic:pic>
                    </a:graphicData>
                  </a:graphic>
                </wp:inline>
              </w:drawing>
            </w:r>
          </w:p>
        </w:tc>
        <w:tc>
          <w:tcPr>
            <w:tcW w:w="6276" w:type="dxa"/>
            <w:tcBorders>
              <w:top w:val="nil"/>
              <w:bottom w:val="single" w:sz="12" w:space="0" w:color="002060"/>
            </w:tcBorders>
            <w:shd w:val="clear" w:color="auto" w:fill="FFFFFF"/>
          </w:tcPr>
          <w:p w:rsidR="00E86815" w:rsidRPr="008C6DC7" w:rsidRDefault="00E86815" w:rsidP="0079766B">
            <w:pPr>
              <w:spacing w:line="276" w:lineRule="auto"/>
              <w:jc w:val="both"/>
              <w:rPr>
                <w:rFonts w:ascii="Calibri" w:hAnsi="Calibri" w:cs="Calibri"/>
                <w:b/>
                <w:sz w:val="32"/>
                <w:szCs w:val="32"/>
              </w:rPr>
            </w:pPr>
          </w:p>
          <w:p w:rsidR="00E86815" w:rsidRPr="008C6DC7" w:rsidRDefault="00E86815" w:rsidP="0079766B">
            <w:pPr>
              <w:spacing w:line="276" w:lineRule="auto"/>
              <w:jc w:val="center"/>
              <w:rPr>
                <w:rFonts w:ascii="Calibri" w:hAnsi="Calibri" w:cs="Calibri"/>
                <w:sz w:val="32"/>
                <w:szCs w:val="32"/>
              </w:rPr>
            </w:pPr>
            <w:r w:rsidRPr="008C6DC7">
              <w:rPr>
                <w:rFonts w:ascii="Calibri" w:hAnsi="Calibri" w:cs="Calibri"/>
                <w:sz w:val="32"/>
                <w:szCs w:val="32"/>
              </w:rPr>
              <w:t>REPUBLIKA E KOSOVËS</w:t>
            </w:r>
          </w:p>
          <w:p w:rsidR="00E86815" w:rsidRPr="008C6DC7" w:rsidRDefault="00E86815" w:rsidP="0079766B">
            <w:pPr>
              <w:spacing w:line="276" w:lineRule="auto"/>
              <w:jc w:val="center"/>
              <w:rPr>
                <w:rFonts w:ascii="Calibri" w:hAnsi="Calibri" w:cs="Calibri"/>
                <w:sz w:val="32"/>
                <w:szCs w:val="32"/>
              </w:rPr>
            </w:pPr>
            <w:r w:rsidRPr="008C6DC7">
              <w:rPr>
                <w:rFonts w:ascii="Calibri" w:hAnsi="Calibri" w:cs="Calibri"/>
                <w:sz w:val="32"/>
                <w:szCs w:val="32"/>
              </w:rPr>
              <w:t>REPUBLIKA KOSOVA/REPUBLIC OF KOSOVO</w:t>
            </w:r>
          </w:p>
          <w:p w:rsidR="00E86815" w:rsidRPr="008C6DC7" w:rsidRDefault="00E86815" w:rsidP="0079766B">
            <w:pPr>
              <w:spacing w:line="276" w:lineRule="auto"/>
              <w:jc w:val="center"/>
              <w:rPr>
                <w:rFonts w:ascii="Calibri" w:hAnsi="Calibri" w:cs="Calibri"/>
                <w:sz w:val="32"/>
                <w:szCs w:val="32"/>
              </w:rPr>
            </w:pPr>
          </w:p>
          <w:p w:rsidR="00E86815" w:rsidRPr="008C6DC7" w:rsidRDefault="00E86815" w:rsidP="0079766B">
            <w:pPr>
              <w:spacing w:line="276" w:lineRule="auto"/>
              <w:jc w:val="center"/>
              <w:rPr>
                <w:rFonts w:ascii="Calibri" w:hAnsi="Calibri" w:cs="Calibri"/>
                <w:sz w:val="32"/>
                <w:szCs w:val="32"/>
              </w:rPr>
            </w:pPr>
            <w:r w:rsidRPr="008C6DC7">
              <w:rPr>
                <w:rFonts w:ascii="Calibri" w:hAnsi="Calibri" w:cs="Calibri"/>
                <w:sz w:val="32"/>
                <w:szCs w:val="32"/>
              </w:rPr>
              <w:t>KOMUNA E GJILANIT</w:t>
            </w:r>
          </w:p>
          <w:p w:rsidR="00E86815" w:rsidRPr="008C6DC7" w:rsidRDefault="00E86815" w:rsidP="0079766B">
            <w:pPr>
              <w:spacing w:line="276" w:lineRule="auto"/>
              <w:jc w:val="center"/>
              <w:rPr>
                <w:rFonts w:ascii="Calibri" w:hAnsi="Calibri" w:cs="Calibri"/>
                <w:sz w:val="32"/>
                <w:szCs w:val="32"/>
              </w:rPr>
            </w:pPr>
            <w:r w:rsidRPr="008C6DC7">
              <w:rPr>
                <w:rFonts w:ascii="Calibri" w:hAnsi="Calibri" w:cs="Calibri"/>
                <w:sz w:val="32"/>
                <w:szCs w:val="32"/>
              </w:rPr>
              <w:t>OPŠTINA GNJILANE</w:t>
            </w:r>
            <w:r w:rsidRPr="008C6DC7">
              <w:rPr>
                <w:rFonts w:ascii="Calibri" w:hAnsi="Calibri" w:cs="Calibri"/>
                <w:bCs/>
                <w:sz w:val="32"/>
                <w:szCs w:val="32"/>
              </w:rPr>
              <w:t>/MUNICIPAL GJILAN/</w:t>
            </w:r>
            <w:r w:rsidRPr="008C6DC7">
              <w:rPr>
                <w:rFonts w:ascii="Calibri" w:hAnsi="Calibri" w:cs="Calibri"/>
                <w:sz w:val="32"/>
                <w:szCs w:val="32"/>
              </w:rPr>
              <w:t>GILAN  BELEDIYESI</w:t>
            </w:r>
          </w:p>
          <w:p w:rsidR="00E86815" w:rsidRPr="008C6DC7" w:rsidRDefault="00E86815" w:rsidP="0079766B">
            <w:pPr>
              <w:spacing w:line="276" w:lineRule="auto"/>
              <w:jc w:val="both"/>
              <w:rPr>
                <w:rFonts w:ascii="Calibri" w:hAnsi="Calibri" w:cs="Calibri"/>
                <w:b/>
                <w:sz w:val="32"/>
                <w:szCs w:val="32"/>
              </w:rPr>
            </w:pPr>
          </w:p>
        </w:tc>
        <w:tc>
          <w:tcPr>
            <w:tcW w:w="1619" w:type="dxa"/>
            <w:tcBorders>
              <w:top w:val="nil"/>
              <w:bottom w:val="single" w:sz="12" w:space="0" w:color="002060"/>
            </w:tcBorders>
            <w:shd w:val="clear" w:color="auto" w:fill="auto"/>
          </w:tcPr>
          <w:p w:rsidR="00E86815" w:rsidRPr="008C6DC7" w:rsidRDefault="00E86815" w:rsidP="0079766B">
            <w:pPr>
              <w:spacing w:line="276" w:lineRule="auto"/>
              <w:jc w:val="both"/>
              <w:rPr>
                <w:rFonts w:ascii="Calibri" w:hAnsi="Calibri" w:cs="Calibri"/>
                <w:b/>
                <w:sz w:val="32"/>
                <w:szCs w:val="32"/>
              </w:rPr>
            </w:pPr>
            <w:r w:rsidRPr="008C6DC7">
              <w:rPr>
                <w:rFonts w:ascii="Calibri" w:hAnsi="Calibri" w:cs="Calibri"/>
                <w:b/>
                <w:sz w:val="32"/>
                <w:szCs w:val="32"/>
              </w:rPr>
              <w:t xml:space="preserve">     </w:t>
            </w:r>
            <w:r w:rsidRPr="008C6DC7">
              <w:rPr>
                <w:rFonts w:ascii="Calibri" w:hAnsi="Calibri" w:cs="Calibri"/>
                <w:b/>
                <w:sz w:val="32"/>
                <w:szCs w:val="32"/>
                <w:lang w:val="en-US"/>
              </w:rPr>
              <w:drawing>
                <wp:inline distT="0" distB="0" distL="0" distR="0" wp14:anchorId="123AEB84" wp14:editId="7969D2A2">
                  <wp:extent cx="609600" cy="838200"/>
                  <wp:effectExtent l="0" t="0" r="0" b="0"/>
                  <wp:docPr id="6" name="Picture 6"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38200"/>
                          </a:xfrm>
                          <a:prstGeom prst="rect">
                            <a:avLst/>
                          </a:prstGeom>
                          <a:noFill/>
                          <a:ln>
                            <a:noFill/>
                          </a:ln>
                        </pic:spPr>
                      </pic:pic>
                    </a:graphicData>
                  </a:graphic>
                </wp:inline>
              </w:drawing>
            </w:r>
          </w:p>
        </w:tc>
      </w:tr>
    </w:tbl>
    <w:p w:rsidR="00FE10AC" w:rsidRDefault="00FE10AC" w:rsidP="00FE10AC">
      <w:pPr>
        <w:spacing w:line="276" w:lineRule="auto"/>
        <w:jc w:val="center"/>
        <w:rPr>
          <w:rFonts w:ascii="Calibri" w:hAnsi="Calibri" w:cs="Calibri"/>
          <w:bCs/>
          <w:sz w:val="32"/>
          <w:szCs w:val="32"/>
        </w:rPr>
      </w:pPr>
    </w:p>
    <w:p w:rsidR="00FE10AC" w:rsidRDefault="00FE10AC" w:rsidP="00FE10AC">
      <w:pPr>
        <w:spacing w:line="276" w:lineRule="auto"/>
        <w:jc w:val="center"/>
        <w:rPr>
          <w:rFonts w:ascii="Calibri" w:hAnsi="Calibri" w:cs="Calibri"/>
          <w:bCs/>
          <w:sz w:val="32"/>
          <w:szCs w:val="32"/>
        </w:rPr>
      </w:pPr>
    </w:p>
    <w:p w:rsidR="00FE10AC" w:rsidRDefault="00FE10AC" w:rsidP="00FE10AC">
      <w:pPr>
        <w:spacing w:line="276" w:lineRule="auto"/>
        <w:jc w:val="center"/>
        <w:rPr>
          <w:rFonts w:ascii="Calibri" w:hAnsi="Calibri" w:cs="Calibri"/>
          <w:bCs/>
          <w:sz w:val="32"/>
          <w:szCs w:val="32"/>
        </w:rPr>
      </w:pPr>
    </w:p>
    <w:p w:rsidR="00FE10AC" w:rsidRDefault="00FE10AC" w:rsidP="00FE10AC">
      <w:pPr>
        <w:spacing w:line="276" w:lineRule="auto"/>
        <w:jc w:val="center"/>
        <w:rPr>
          <w:rFonts w:ascii="Calibri" w:hAnsi="Calibri" w:cs="Calibri"/>
          <w:bCs/>
          <w:sz w:val="32"/>
          <w:szCs w:val="32"/>
        </w:rPr>
      </w:pPr>
      <w:bookmarkStart w:id="0" w:name="_GoBack"/>
      <w:bookmarkEnd w:id="0"/>
    </w:p>
    <w:p w:rsidR="00FE10AC" w:rsidRDefault="00FE10AC" w:rsidP="00FE10AC">
      <w:pPr>
        <w:spacing w:line="276" w:lineRule="auto"/>
        <w:jc w:val="center"/>
        <w:rPr>
          <w:rFonts w:ascii="Calibri" w:hAnsi="Calibri" w:cs="Calibri"/>
          <w:bCs/>
          <w:sz w:val="32"/>
          <w:szCs w:val="32"/>
        </w:rPr>
      </w:pPr>
    </w:p>
    <w:p w:rsidR="00FC75D9" w:rsidRPr="00FC75D9" w:rsidRDefault="00FC75D9" w:rsidP="00FC75D9">
      <w:pPr>
        <w:spacing w:after="0" w:line="240" w:lineRule="auto"/>
        <w:jc w:val="center"/>
        <w:rPr>
          <w:rFonts w:ascii="Times New Roman" w:eastAsia="Times New Roman" w:hAnsi="Times New Roman" w:cs="Times New Roman"/>
          <w:b/>
          <w:noProof w:val="0"/>
          <w:sz w:val="24"/>
          <w:szCs w:val="24"/>
        </w:rPr>
      </w:pPr>
      <w:r w:rsidRPr="00FC75D9">
        <w:rPr>
          <w:rFonts w:ascii="Times New Roman" w:eastAsia="Times New Roman" w:hAnsi="Times New Roman" w:cs="Times New Roman"/>
          <w:b/>
          <w:noProof w:val="0"/>
          <w:sz w:val="24"/>
          <w:szCs w:val="24"/>
        </w:rPr>
        <w:t xml:space="preserve">RREGULLORE  (KGJ) NR. </w:t>
      </w:r>
      <w:r>
        <w:rPr>
          <w:rFonts w:ascii="Times New Roman" w:eastAsia="Times New Roman" w:hAnsi="Times New Roman" w:cs="Times New Roman"/>
          <w:b/>
          <w:noProof w:val="0"/>
          <w:sz w:val="24"/>
          <w:szCs w:val="24"/>
        </w:rPr>
        <w:t>2</w:t>
      </w:r>
      <w:r w:rsidRPr="00FC75D9">
        <w:rPr>
          <w:rFonts w:ascii="Times New Roman" w:eastAsia="Times New Roman" w:hAnsi="Times New Roman" w:cs="Times New Roman"/>
          <w:b/>
          <w:noProof w:val="0"/>
          <w:sz w:val="24"/>
          <w:szCs w:val="24"/>
        </w:rPr>
        <w:t>/2024</w:t>
      </w:r>
    </w:p>
    <w:p w:rsidR="00E86815" w:rsidRPr="00FC75D9" w:rsidRDefault="00E86815" w:rsidP="00FE10AC">
      <w:pPr>
        <w:spacing w:line="276" w:lineRule="auto"/>
        <w:jc w:val="center"/>
        <w:rPr>
          <w:rFonts w:ascii="Calibri" w:hAnsi="Calibri" w:cs="Calibri"/>
          <w:b/>
          <w:sz w:val="32"/>
          <w:szCs w:val="32"/>
        </w:rPr>
      </w:pPr>
      <w:r w:rsidRPr="00FC75D9">
        <w:rPr>
          <w:rFonts w:ascii="Calibri" w:hAnsi="Calibri" w:cs="Calibri"/>
          <w:b/>
          <w:bCs/>
          <w:sz w:val="32"/>
          <w:szCs w:val="32"/>
        </w:rPr>
        <w:t>PËR</w:t>
      </w:r>
    </w:p>
    <w:p w:rsidR="00E86815" w:rsidRPr="00FC75D9" w:rsidRDefault="00E86815" w:rsidP="00FE10AC">
      <w:pPr>
        <w:spacing w:line="276" w:lineRule="auto"/>
        <w:jc w:val="center"/>
        <w:rPr>
          <w:rFonts w:ascii="Calibri" w:hAnsi="Calibri" w:cs="Calibri"/>
          <w:b/>
          <w:bCs/>
          <w:sz w:val="32"/>
          <w:szCs w:val="32"/>
        </w:rPr>
      </w:pPr>
      <w:r w:rsidRPr="00FC75D9">
        <w:rPr>
          <w:rFonts w:ascii="Calibri" w:hAnsi="Calibri" w:cs="Calibri"/>
          <w:b/>
          <w:bCs/>
          <w:sz w:val="32"/>
          <w:szCs w:val="32"/>
        </w:rPr>
        <w:t>NDARJEN E BURSAVE  PËR STUDENTËT E KOMUNËNS SË GJILANIT</w:t>
      </w:r>
    </w:p>
    <w:p w:rsidR="00FE10AC" w:rsidRDefault="00FE10AC" w:rsidP="00FE10AC">
      <w:pPr>
        <w:spacing w:line="276" w:lineRule="auto"/>
        <w:jc w:val="center"/>
        <w:rPr>
          <w:rFonts w:ascii="Calibri" w:hAnsi="Calibri" w:cs="Calibri"/>
          <w:bCs/>
          <w:sz w:val="32"/>
          <w:szCs w:val="32"/>
        </w:rPr>
      </w:pPr>
    </w:p>
    <w:p w:rsidR="00FE10AC" w:rsidRDefault="00FE10AC" w:rsidP="00FE10AC">
      <w:pPr>
        <w:spacing w:line="276" w:lineRule="auto"/>
        <w:jc w:val="center"/>
        <w:rPr>
          <w:rFonts w:ascii="Calibri" w:hAnsi="Calibri" w:cs="Calibri"/>
          <w:bCs/>
          <w:sz w:val="32"/>
          <w:szCs w:val="32"/>
        </w:rPr>
      </w:pPr>
    </w:p>
    <w:p w:rsidR="00FE10AC" w:rsidRDefault="00FE10AC" w:rsidP="00FE10AC">
      <w:pPr>
        <w:spacing w:line="276" w:lineRule="auto"/>
        <w:jc w:val="center"/>
        <w:rPr>
          <w:rFonts w:ascii="Calibri" w:hAnsi="Calibri" w:cs="Calibri"/>
          <w:bCs/>
          <w:sz w:val="32"/>
          <w:szCs w:val="32"/>
        </w:rPr>
      </w:pPr>
    </w:p>
    <w:p w:rsidR="00FE10AC" w:rsidRDefault="00FE10AC" w:rsidP="00FE10AC">
      <w:pPr>
        <w:spacing w:line="276" w:lineRule="auto"/>
        <w:jc w:val="center"/>
        <w:rPr>
          <w:rFonts w:ascii="Calibri" w:hAnsi="Calibri" w:cs="Calibri"/>
          <w:bCs/>
          <w:sz w:val="32"/>
          <w:szCs w:val="32"/>
        </w:rPr>
      </w:pPr>
    </w:p>
    <w:p w:rsidR="00FE10AC" w:rsidRDefault="00FE10AC" w:rsidP="00FE10AC">
      <w:pPr>
        <w:spacing w:line="276" w:lineRule="auto"/>
        <w:jc w:val="center"/>
        <w:rPr>
          <w:rFonts w:ascii="Calibri" w:hAnsi="Calibri" w:cs="Calibri"/>
          <w:bCs/>
          <w:sz w:val="32"/>
          <w:szCs w:val="32"/>
        </w:rPr>
      </w:pPr>
    </w:p>
    <w:p w:rsidR="00E86815" w:rsidRPr="008C6DC7" w:rsidRDefault="00FE10AC" w:rsidP="00FE10AC">
      <w:pPr>
        <w:spacing w:line="276" w:lineRule="auto"/>
        <w:jc w:val="center"/>
        <w:rPr>
          <w:rFonts w:ascii="Calibri" w:hAnsi="Calibri" w:cs="Calibri"/>
          <w:bCs/>
          <w:sz w:val="32"/>
          <w:szCs w:val="32"/>
        </w:rPr>
        <w:sectPr w:rsidR="00E86815" w:rsidRPr="008C6DC7" w:rsidSect="008B0100">
          <w:headerReference w:type="default" r:id="rId9"/>
          <w:footerReference w:type="default" r:id="rId10"/>
          <w:pgSz w:w="11909" w:h="16834" w:code="9"/>
          <w:pgMar w:top="1267" w:right="1296" w:bottom="1267" w:left="1260" w:header="432" w:footer="432" w:gutter="0"/>
          <w:cols w:space="720"/>
          <w:titlePg/>
          <w:docGrid w:linePitch="360"/>
        </w:sectPr>
      </w:pPr>
      <w:r>
        <w:rPr>
          <w:rFonts w:ascii="Calibri" w:hAnsi="Calibri" w:cs="Calibri"/>
          <w:bCs/>
          <w:sz w:val="32"/>
          <w:szCs w:val="32"/>
        </w:rPr>
        <w:t>Te</w:t>
      </w:r>
      <w:r w:rsidR="00E86815">
        <w:rPr>
          <w:rFonts w:ascii="Calibri" w:hAnsi="Calibri" w:cs="Calibri"/>
          <w:bCs/>
          <w:sz w:val="32"/>
          <w:szCs w:val="32"/>
        </w:rPr>
        <w:t>tor 2024</w:t>
      </w:r>
    </w:p>
    <w:p w:rsidR="00E86815" w:rsidRPr="00FE10AC" w:rsidRDefault="00E86815" w:rsidP="00E86815">
      <w:pPr>
        <w:spacing w:line="276" w:lineRule="auto"/>
        <w:jc w:val="both"/>
        <w:rPr>
          <w:rFonts w:ascii="Arial" w:hAnsi="Arial" w:cs="Arial"/>
          <w:sz w:val="24"/>
          <w:szCs w:val="24"/>
        </w:rPr>
      </w:pPr>
      <w:r w:rsidRPr="00FE10AC">
        <w:rPr>
          <w:rFonts w:ascii="Arial" w:hAnsi="Arial" w:cs="Arial"/>
          <w:sz w:val="24"/>
          <w:szCs w:val="24"/>
        </w:rPr>
        <w:lastRenderedPageBreak/>
        <w:t xml:space="preserve">Bazuar në nenin 12.2 pika c) e Ligjit për Vetëqeverisjen lokale (“Gazeta zyrtare e Republikës së Kosovës” Nr. 28/2008),  neni 38 pragrafi 1.3  të Statutit të Komunës së Gjilanit, 01 nr. 016-126211 të dt. 06.11.2014 dhe me ndryshimet dhe plotësimet në Statut të Komunës 01. nr. 016-28448 të datës 22.03.2018,  Kuvendi i Komunës, në seancën e mbajtur më : </w:t>
      </w:r>
      <w:r w:rsidR="00FE10AC" w:rsidRPr="00FE10AC">
        <w:rPr>
          <w:rFonts w:ascii="Arial" w:hAnsi="Arial" w:cs="Arial"/>
          <w:sz w:val="24"/>
          <w:szCs w:val="24"/>
        </w:rPr>
        <w:t>21.10.2024,</w:t>
      </w:r>
      <w:r w:rsidRPr="00FE10AC">
        <w:rPr>
          <w:rFonts w:ascii="Arial" w:hAnsi="Arial" w:cs="Arial"/>
          <w:color w:val="FF0000"/>
          <w:sz w:val="24"/>
          <w:szCs w:val="24"/>
        </w:rPr>
        <w:t xml:space="preserve"> </w:t>
      </w:r>
      <w:r w:rsidRPr="00FE10AC">
        <w:rPr>
          <w:rFonts w:ascii="Arial" w:hAnsi="Arial" w:cs="Arial"/>
          <w:sz w:val="24"/>
          <w:szCs w:val="24"/>
        </w:rPr>
        <w:t xml:space="preserve">miratoi: </w:t>
      </w:r>
    </w:p>
    <w:p w:rsidR="00E86815" w:rsidRPr="00FE10AC" w:rsidRDefault="00E86815" w:rsidP="00E86815">
      <w:pPr>
        <w:spacing w:line="276" w:lineRule="auto"/>
        <w:jc w:val="both"/>
        <w:rPr>
          <w:rFonts w:ascii="Arial" w:hAnsi="Arial" w:cs="Arial"/>
          <w:b/>
          <w:sz w:val="24"/>
          <w:szCs w:val="24"/>
        </w:rPr>
      </w:pPr>
    </w:p>
    <w:p w:rsidR="00FC75D9" w:rsidRPr="00FC75D9" w:rsidRDefault="00E86815" w:rsidP="00FC75D9">
      <w:pPr>
        <w:jc w:val="center"/>
        <w:rPr>
          <w:rFonts w:ascii="Times New Roman" w:eastAsia="Times New Roman" w:hAnsi="Times New Roman" w:cs="Times New Roman"/>
          <w:b/>
          <w:noProof w:val="0"/>
          <w:sz w:val="24"/>
          <w:szCs w:val="24"/>
        </w:rPr>
      </w:pPr>
      <w:r w:rsidRPr="00FE10AC">
        <w:rPr>
          <w:rFonts w:ascii="Arial" w:hAnsi="Arial" w:cs="Arial"/>
          <w:bCs/>
          <w:sz w:val="24"/>
          <w:szCs w:val="24"/>
        </w:rPr>
        <w:t xml:space="preserve"> </w:t>
      </w:r>
      <w:r w:rsidR="00FC75D9" w:rsidRPr="00FC75D9">
        <w:rPr>
          <w:rFonts w:ascii="Times New Roman" w:eastAsia="Times New Roman" w:hAnsi="Times New Roman" w:cs="Times New Roman"/>
          <w:b/>
          <w:noProof w:val="0"/>
          <w:sz w:val="24"/>
          <w:szCs w:val="24"/>
        </w:rPr>
        <w:t xml:space="preserve">RREGULLORE  (KGJ) NR. </w:t>
      </w:r>
      <w:r w:rsidR="00FC75D9">
        <w:rPr>
          <w:rFonts w:ascii="Times New Roman" w:eastAsia="Times New Roman" w:hAnsi="Times New Roman" w:cs="Times New Roman"/>
          <w:b/>
          <w:noProof w:val="0"/>
          <w:sz w:val="24"/>
          <w:szCs w:val="24"/>
        </w:rPr>
        <w:t>2</w:t>
      </w:r>
      <w:r w:rsidR="00FC75D9" w:rsidRPr="00FC75D9">
        <w:rPr>
          <w:rFonts w:ascii="Times New Roman" w:eastAsia="Times New Roman" w:hAnsi="Times New Roman" w:cs="Times New Roman"/>
          <w:b/>
          <w:noProof w:val="0"/>
          <w:sz w:val="24"/>
          <w:szCs w:val="24"/>
        </w:rPr>
        <w:t>/2024</w:t>
      </w:r>
    </w:p>
    <w:p w:rsidR="00E86815" w:rsidRPr="00FE10AC" w:rsidRDefault="00E86815" w:rsidP="00E86815">
      <w:pPr>
        <w:spacing w:line="276" w:lineRule="auto"/>
        <w:jc w:val="center"/>
        <w:rPr>
          <w:rFonts w:ascii="Arial" w:hAnsi="Arial" w:cs="Arial"/>
          <w:b/>
          <w:sz w:val="24"/>
          <w:szCs w:val="24"/>
        </w:rPr>
      </w:pPr>
      <w:r w:rsidRPr="00FE10AC">
        <w:rPr>
          <w:rFonts w:ascii="Arial" w:hAnsi="Arial" w:cs="Arial"/>
          <w:b/>
          <w:bCs/>
          <w:sz w:val="24"/>
          <w:szCs w:val="24"/>
        </w:rPr>
        <w:t>PËR</w:t>
      </w:r>
    </w:p>
    <w:p w:rsidR="00E86815" w:rsidRPr="00FE10AC" w:rsidRDefault="00E86815" w:rsidP="00E86815">
      <w:pPr>
        <w:spacing w:line="276" w:lineRule="auto"/>
        <w:jc w:val="center"/>
        <w:rPr>
          <w:rFonts w:ascii="Arial" w:hAnsi="Arial" w:cs="Arial"/>
          <w:b/>
          <w:bCs/>
          <w:sz w:val="24"/>
          <w:szCs w:val="24"/>
        </w:rPr>
      </w:pPr>
      <w:r w:rsidRPr="00FE10AC">
        <w:rPr>
          <w:rFonts w:ascii="Arial" w:hAnsi="Arial" w:cs="Arial"/>
          <w:b/>
          <w:bCs/>
          <w:sz w:val="24"/>
          <w:szCs w:val="24"/>
        </w:rPr>
        <w:t>NDARJEN E BURSAVE  PËR STUDENTËT E KOMUNËS SË GJILANIT</w:t>
      </w:r>
    </w:p>
    <w:p w:rsidR="005B7B43" w:rsidRDefault="005B7B43" w:rsidP="00E86815">
      <w:pPr>
        <w:spacing w:line="276" w:lineRule="auto"/>
        <w:jc w:val="center"/>
        <w:rPr>
          <w:rFonts w:ascii="Arial" w:hAnsi="Arial" w:cs="Arial"/>
          <w:b/>
          <w:sz w:val="24"/>
          <w:szCs w:val="24"/>
        </w:rPr>
      </w:pPr>
    </w:p>
    <w:p w:rsidR="00E86815" w:rsidRPr="00FE10AC" w:rsidRDefault="00E86815" w:rsidP="00E86815">
      <w:pPr>
        <w:spacing w:line="276" w:lineRule="auto"/>
        <w:jc w:val="center"/>
        <w:rPr>
          <w:rFonts w:ascii="Arial" w:hAnsi="Arial" w:cs="Arial"/>
          <w:b/>
          <w:sz w:val="24"/>
          <w:szCs w:val="24"/>
        </w:rPr>
      </w:pPr>
      <w:r w:rsidRPr="00FE10AC">
        <w:rPr>
          <w:rFonts w:ascii="Arial" w:hAnsi="Arial" w:cs="Arial"/>
          <w:b/>
          <w:sz w:val="24"/>
          <w:szCs w:val="24"/>
        </w:rPr>
        <w:t>Neni  1</w:t>
      </w:r>
    </w:p>
    <w:p w:rsidR="00E86815" w:rsidRPr="00FE10AC" w:rsidRDefault="00E86815" w:rsidP="00E86815">
      <w:pPr>
        <w:spacing w:line="276" w:lineRule="auto"/>
        <w:jc w:val="center"/>
        <w:rPr>
          <w:rFonts w:ascii="Arial" w:hAnsi="Arial" w:cs="Arial"/>
          <w:b/>
          <w:sz w:val="24"/>
          <w:szCs w:val="24"/>
        </w:rPr>
      </w:pPr>
      <w:r w:rsidRPr="00FE10AC">
        <w:rPr>
          <w:rFonts w:ascii="Arial" w:hAnsi="Arial" w:cs="Arial"/>
          <w:b/>
          <w:sz w:val="24"/>
          <w:szCs w:val="24"/>
        </w:rPr>
        <w:t>Qëllimi</w:t>
      </w:r>
    </w:p>
    <w:p w:rsidR="00E86815" w:rsidRPr="00FE10AC" w:rsidRDefault="00E86815" w:rsidP="00E86815">
      <w:pPr>
        <w:spacing w:line="276" w:lineRule="auto"/>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 xml:space="preserve">Rregullorja përcakton procedura të detajuara për menaxhimin e ndarjes së bursave për studentët  e Komunës së Gjilanit, që studiojnë në Universitetet e Kosovës dhe </w:t>
      </w:r>
      <w:r w:rsidRPr="00FE10AC">
        <w:rPr>
          <w:rFonts w:ascii="Arial" w:hAnsi="Arial" w:cs="Arial"/>
          <w:b/>
          <w:i/>
          <w:color w:val="171717" w:themeColor="background2" w:themeShade="1A"/>
          <w:sz w:val="24"/>
          <w:szCs w:val="24"/>
        </w:rPr>
        <w:t>Kolegjet private</w:t>
      </w:r>
      <w:r w:rsidR="00A205A1" w:rsidRPr="00FE10AC">
        <w:rPr>
          <w:rFonts w:ascii="Arial" w:hAnsi="Arial" w:cs="Arial"/>
          <w:color w:val="171717" w:themeColor="background2" w:themeShade="1A"/>
          <w:sz w:val="24"/>
          <w:szCs w:val="24"/>
        </w:rPr>
        <w:t xml:space="preserve">, </w:t>
      </w:r>
      <w:r w:rsidRPr="00FE10AC">
        <w:rPr>
          <w:rFonts w:ascii="Arial" w:hAnsi="Arial" w:cs="Arial"/>
          <w:color w:val="171717" w:themeColor="background2" w:themeShade="1A"/>
          <w:sz w:val="24"/>
          <w:szCs w:val="24"/>
        </w:rPr>
        <w:t xml:space="preserve">pa asnjë dallim mbi baza etnike, gjinore, racore, fetare apo politike, si dhe kriteret e poentimit, kushtet e kërkuara, shpallja e konkursit, komisioni dhe detyrat e tij, komisioni i ankesave, ekzekutimi i pagesave etj. </w:t>
      </w:r>
    </w:p>
    <w:p w:rsidR="00E86815" w:rsidRPr="00FE10AC" w:rsidRDefault="00E86815" w:rsidP="00E86815">
      <w:pPr>
        <w:spacing w:line="276" w:lineRule="auto"/>
        <w:jc w:val="center"/>
        <w:rPr>
          <w:rFonts w:ascii="Arial" w:hAnsi="Arial" w:cs="Arial"/>
          <w:b/>
          <w:color w:val="171717" w:themeColor="background2" w:themeShade="1A"/>
          <w:sz w:val="24"/>
          <w:szCs w:val="24"/>
        </w:rPr>
      </w:pPr>
      <w:r w:rsidRPr="00FE10AC">
        <w:rPr>
          <w:rFonts w:ascii="Arial" w:hAnsi="Arial" w:cs="Arial"/>
          <w:b/>
          <w:color w:val="171717" w:themeColor="background2" w:themeShade="1A"/>
          <w:sz w:val="24"/>
          <w:szCs w:val="24"/>
        </w:rPr>
        <w:t>Neni 2</w:t>
      </w:r>
    </w:p>
    <w:p w:rsidR="00E86815" w:rsidRPr="00FE10AC" w:rsidRDefault="00E86815" w:rsidP="00E86815">
      <w:pPr>
        <w:spacing w:line="276" w:lineRule="auto"/>
        <w:jc w:val="center"/>
        <w:rPr>
          <w:rFonts w:ascii="Arial" w:hAnsi="Arial" w:cs="Arial"/>
          <w:b/>
          <w:color w:val="171717" w:themeColor="background2" w:themeShade="1A"/>
          <w:sz w:val="24"/>
          <w:szCs w:val="24"/>
        </w:rPr>
      </w:pPr>
      <w:r w:rsidRPr="00FE10AC">
        <w:rPr>
          <w:rFonts w:ascii="Arial" w:hAnsi="Arial" w:cs="Arial"/>
          <w:b/>
          <w:color w:val="171717" w:themeColor="background2" w:themeShade="1A"/>
          <w:sz w:val="24"/>
          <w:szCs w:val="24"/>
        </w:rPr>
        <w:t xml:space="preserve">Inicimi për Ndarjen e Bursave </w:t>
      </w:r>
    </w:p>
    <w:p w:rsidR="00E86815" w:rsidRPr="00FE10AC" w:rsidRDefault="00E86815" w:rsidP="00E86815">
      <w:pPr>
        <w:numPr>
          <w:ilvl w:val="0"/>
          <w:numId w:val="5"/>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Inicimin për ndarjen e bursave për studentë të Komunës së Gjilanit, me arsyetim e bënë Drejtoria Komunale e Arsimit në Gjilan, për çdo vit akademik nëse është e mundur, duke i marrë për bazë mundësitë buxhetore që posedon Komuna.</w:t>
      </w:r>
    </w:p>
    <w:p w:rsidR="00E86815" w:rsidRPr="00FE10AC" w:rsidRDefault="00E86815" w:rsidP="00E86815">
      <w:pPr>
        <w:numPr>
          <w:ilvl w:val="0"/>
          <w:numId w:val="5"/>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 xml:space="preserve">Numri i përfituesëve të bursave dhe kostoja e financimit për një përfitues, do të propozohet me shkrim nga Drejtoria Komunale e Arsimit, ndërsa miratimin  e bën Kuvendi i Komunës. </w:t>
      </w:r>
    </w:p>
    <w:p w:rsidR="00E86815" w:rsidRPr="00FE10AC" w:rsidRDefault="00E86815" w:rsidP="00E86815">
      <w:pPr>
        <w:numPr>
          <w:ilvl w:val="0"/>
          <w:numId w:val="5"/>
        </w:numPr>
        <w:tabs>
          <w:tab w:val="left" w:pos="270"/>
        </w:tabs>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Drejtoria Komunale e Arsimit, pas  analizës, së bazuar në nevojat e tregut të punës, propozon fushat/lëndët deficitare, Kuvendi i Komunës e shqyrton dhe voton propozimin;</w:t>
      </w:r>
    </w:p>
    <w:p w:rsidR="00E86815" w:rsidRPr="00FE10AC" w:rsidRDefault="00E86815" w:rsidP="00E86815">
      <w:pPr>
        <w:numPr>
          <w:ilvl w:val="0"/>
          <w:numId w:val="5"/>
        </w:numPr>
        <w:tabs>
          <w:tab w:val="left" w:pos="270"/>
          <w:tab w:val="left" w:pos="360"/>
        </w:tabs>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u w:val="single"/>
        </w:rPr>
        <w:t>Aktualisht</w:t>
      </w:r>
      <w:r w:rsidRPr="00FE10AC">
        <w:rPr>
          <w:rFonts w:ascii="Arial" w:hAnsi="Arial" w:cs="Arial"/>
          <w:color w:val="171717" w:themeColor="background2" w:themeShade="1A"/>
          <w:sz w:val="24"/>
          <w:szCs w:val="24"/>
        </w:rPr>
        <w:t xml:space="preserve"> drejtimet deficitare konsiderohen: drejtimet e FSHMN-së (fizikë, matematikë, </w:t>
      </w:r>
      <w:r w:rsidRPr="00FE10AC">
        <w:rPr>
          <w:rFonts w:ascii="Arial" w:hAnsi="Arial" w:cs="Arial"/>
          <w:b/>
          <w:i/>
          <w:color w:val="171717" w:themeColor="background2" w:themeShade="1A"/>
          <w:sz w:val="24"/>
          <w:szCs w:val="24"/>
        </w:rPr>
        <w:t>kimi dhe biologji</w:t>
      </w:r>
      <w:r w:rsidRPr="00FE10AC">
        <w:rPr>
          <w:rFonts w:ascii="Arial" w:hAnsi="Arial" w:cs="Arial"/>
          <w:color w:val="171717" w:themeColor="background2" w:themeShade="1A"/>
          <w:sz w:val="24"/>
          <w:szCs w:val="24"/>
        </w:rPr>
        <w:t>) Fakulteti Teknik, dhe Fakulteti i Mjekësisë (Drejtimi i Përgjithshëm).</w:t>
      </w:r>
    </w:p>
    <w:p w:rsidR="00E86815" w:rsidRPr="00FE10AC" w:rsidRDefault="00E86815" w:rsidP="00E86815">
      <w:pPr>
        <w:numPr>
          <w:ilvl w:val="0"/>
          <w:numId w:val="5"/>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 xml:space="preserve"> Bursat ndahen për studentët e Komunës së Gjilanit që studiojnë:</w:t>
      </w:r>
    </w:p>
    <w:p w:rsidR="00E86815" w:rsidRPr="00FE10AC" w:rsidRDefault="00E86815" w:rsidP="00E86815">
      <w:pPr>
        <w:tabs>
          <w:tab w:val="left" w:pos="180"/>
          <w:tab w:val="left" w:pos="360"/>
        </w:tabs>
        <w:spacing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5.1 Në Universitetet Publike të Republikës së Kosovës dhe kolegje private;</w:t>
      </w:r>
    </w:p>
    <w:p w:rsidR="00E86815" w:rsidRPr="00FE10AC" w:rsidRDefault="00A205A1" w:rsidP="00E86815">
      <w:pPr>
        <w:spacing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5.2</w:t>
      </w:r>
      <w:r w:rsidR="00E86815" w:rsidRPr="00FE10AC">
        <w:rPr>
          <w:rFonts w:ascii="Arial" w:hAnsi="Arial" w:cs="Arial"/>
          <w:color w:val="171717" w:themeColor="background2" w:themeShade="1A"/>
          <w:sz w:val="24"/>
          <w:szCs w:val="24"/>
        </w:rPr>
        <w:t xml:space="preserve"> 10 % e bursave ndahen për studentët e kolegjeve private;</w:t>
      </w:r>
    </w:p>
    <w:p w:rsidR="00E86815" w:rsidRPr="00FE10AC" w:rsidRDefault="00E86815" w:rsidP="00E86815">
      <w:pPr>
        <w:numPr>
          <w:ilvl w:val="0"/>
          <w:numId w:val="5"/>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 xml:space="preserve"> Bursat ndahem për periudhën dhjetë (10) mujore;</w:t>
      </w:r>
    </w:p>
    <w:p w:rsidR="00E86815" w:rsidRPr="00FE10AC" w:rsidRDefault="00E86815" w:rsidP="00E86815">
      <w:pPr>
        <w:numPr>
          <w:ilvl w:val="0"/>
          <w:numId w:val="5"/>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Bursat ndahen për studentët e studimeve themelore dhe studentët e studimeve master.</w:t>
      </w:r>
    </w:p>
    <w:p w:rsidR="00E86815" w:rsidRPr="00FE10AC" w:rsidRDefault="00E86815" w:rsidP="00E86815">
      <w:pPr>
        <w:numPr>
          <w:ilvl w:val="0"/>
          <w:numId w:val="5"/>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lastRenderedPageBreak/>
        <w:t>Për studentët e studimeve master ndahen 5% nga numri total i bursave.</w:t>
      </w:r>
    </w:p>
    <w:p w:rsidR="00E86815" w:rsidRPr="00FE10AC" w:rsidRDefault="00E86815" w:rsidP="00E86815">
      <w:pPr>
        <w:numPr>
          <w:ilvl w:val="0"/>
          <w:numId w:val="5"/>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 xml:space="preserve"> Studenti i studimeve Master duhet ta ketë te kryera vitin e parë të studimeve master, duke respektuar edhe  nenin 5, në lidhje me kriteret e veçanta për të fituar bursën. </w:t>
      </w:r>
    </w:p>
    <w:p w:rsidR="00E86815" w:rsidRPr="00FE10AC" w:rsidRDefault="00E86815" w:rsidP="00E86815">
      <w:pPr>
        <w:spacing w:line="276" w:lineRule="auto"/>
        <w:ind w:left="270"/>
        <w:jc w:val="center"/>
        <w:rPr>
          <w:rFonts w:ascii="Arial" w:hAnsi="Arial" w:cs="Arial"/>
          <w:b/>
          <w:color w:val="171717" w:themeColor="background2" w:themeShade="1A"/>
          <w:sz w:val="24"/>
          <w:szCs w:val="24"/>
        </w:rPr>
      </w:pPr>
      <w:r w:rsidRPr="00FE10AC">
        <w:rPr>
          <w:rFonts w:ascii="Arial" w:hAnsi="Arial" w:cs="Arial"/>
          <w:b/>
          <w:color w:val="171717" w:themeColor="background2" w:themeShade="1A"/>
          <w:sz w:val="24"/>
          <w:szCs w:val="24"/>
        </w:rPr>
        <w:t>Neni 3</w:t>
      </w:r>
    </w:p>
    <w:p w:rsidR="00E86815" w:rsidRPr="00FE10AC" w:rsidRDefault="00E86815" w:rsidP="00E86815">
      <w:pPr>
        <w:spacing w:line="276" w:lineRule="auto"/>
        <w:ind w:left="270"/>
        <w:jc w:val="center"/>
        <w:rPr>
          <w:rFonts w:ascii="Arial" w:hAnsi="Arial" w:cs="Arial"/>
          <w:b/>
          <w:color w:val="171717" w:themeColor="background2" w:themeShade="1A"/>
          <w:sz w:val="24"/>
          <w:szCs w:val="24"/>
        </w:rPr>
      </w:pPr>
      <w:r w:rsidRPr="00FE10AC">
        <w:rPr>
          <w:rFonts w:ascii="Arial" w:hAnsi="Arial" w:cs="Arial"/>
          <w:b/>
          <w:color w:val="171717" w:themeColor="background2" w:themeShade="1A"/>
          <w:sz w:val="24"/>
          <w:szCs w:val="24"/>
        </w:rPr>
        <w:t>Procedura në Kuvendin e Komunës dhe Komisioni</w:t>
      </w:r>
    </w:p>
    <w:p w:rsidR="00E86815" w:rsidRPr="00FE10AC" w:rsidRDefault="00E86815" w:rsidP="00E86815">
      <w:pPr>
        <w:numPr>
          <w:ilvl w:val="0"/>
          <w:numId w:val="6"/>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 xml:space="preserve">Pasi të arrijë kërkesa për ndarjen e bursave, e arsyetuar me shkrim nga Drejtoria Komunale e Arsimit, Kuvendi i Komunës e shqyrton kërkesën. </w:t>
      </w:r>
    </w:p>
    <w:p w:rsidR="00E86815" w:rsidRPr="00180BC9" w:rsidRDefault="00E86815" w:rsidP="00E86815">
      <w:pPr>
        <w:numPr>
          <w:ilvl w:val="0"/>
          <w:numId w:val="6"/>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 xml:space="preserve">Kuvendi i Komunës mund të kërkojë ndryshimin e numrit të përfituesve të bursave apo koston financiare për përfituesit,  pas konsultimeve të nevojshme me  Drejtorin Komunale për Arsim dhe Drejtoria për Buxhet dhe Financa </w:t>
      </w:r>
      <w:r w:rsidRPr="00180BC9">
        <w:rPr>
          <w:rFonts w:ascii="Arial" w:hAnsi="Arial" w:cs="Arial"/>
          <w:color w:val="171717" w:themeColor="background2" w:themeShade="1A"/>
          <w:sz w:val="24"/>
          <w:szCs w:val="24"/>
        </w:rPr>
        <w:t>merret vendimi nga Kuvendi i Komunës.</w:t>
      </w:r>
    </w:p>
    <w:p w:rsidR="00E86815" w:rsidRPr="00FE10AC" w:rsidRDefault="00E86815" w:rsidP="00E86815">
      <w:pPr>
        <w:numPr>
          <w:ilvl w:val="0"/>
          <w:numId w:val="6"/>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 xml:space="preserve">Anëtarët e Kuvendit të Komunës, propozojnë dhe miratojnë  formimin e komisionin në përbërje prej shtatë (7) anëtarëve  nga subjektet politike të përfaqësuara në Kuvend, prej të cilëve dy anëtarë do të jenë nga  subjekti politik i cili ka shumicën në Kuvend, ndërsa të tjerët do të jenë sipas ulësve. </w:t>
      </w:r>
    </w:p>
    <w:p w:rsidR="00E86815" w:rsidRPr="00FE10AC" w:rsidRDefault="00E86815" w:rsidP="00E86815">
      <w:pPr>
        <w:numPr>
          <w:ilvl w:val="0"/>
          <w:numId w:val="6"/>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Anëtarët e komisionit duhen të jenë anëtarë të Kuvendit Komunal.</w:t>
      </w:r>
    </w:p>
    <w:p w:rsidR="00E86815" w:rsidRPr="00FE10AC" w:rsidRDefault="00E86815" w:rsidP="00E86815">
      <w:pPr>
        <w:numPr>
          <w:ilvl w:val="0"/>
          <w:numId w:val="6"/>
        </w:numPr>
        <w:spacing w:after="0" w:line="240"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 xml:space="preserve">Mandati i anëtarëve të komisionit zgjatë aq sa zgjatë edhe mandati i anëtarëve të Kuvendit Komunal. </w:t>
      </w:r>
    </w:p>
    <w:p w:rsidR="00E86815" w:rsidRPr="00FE10AC" w:rsidRDefault="00E86815" w:rsidP="00E86815">
      <w:pPr>
        <w:numPr>
          <w:ilvl w:val="0"/>
          <w:numId w:val="6"/>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 xml:space="preserve">Komisioni gjatë punës së tij, është i obliguar të mbajë procesverbal me shkrim dhe i cili në fund të procesit duhet të jetë i nënshkruar nga të gjithë anëtarët e komisionit. Nëse ndonjëri nga anëtarët e komisionit ka mospajtim apo nuk e nënshkruan procesverbalin, duhet të jep deklaratë me shkrim dhe i bashkëngjitet procesverbalit.  </w:t>
      </w:r>
    </w:p>
    <w:p w:rsidR="005B7B43" w:rsidRDefault="005B7B43" w:rsidP="00E86815">
      <w:pPr>
        <w:jc w:val="center"/>
        <w:rPr>
          <w:rFonts w:ascii="Arial" w:hAnsi="Arial" w:cs="Arial"/>
          <w:b/>
          <w:color w:val="171717" w:themeColor="background2" w:themeShade="1A"/>
          <w:sz w:val="24"/>
          <w:szCs w:val="24"/>
        </w:rPr>
      </w:pPr>
    </w:p>
    <w:p w:rsidR="00E86815" w:rsidRPr="00FE10AC" w:rsidRDefault="00E86815" w:rsidP="00E86815">
      <w:pPr>
        <w:jc w:val="center"/>
        <w:rPr>
          <w:rFonts w:ascii="Arial" w:hAnsi="Arial" w:cs="Arial"/>
          <w:b/>
          <w:color w:val="171717" w:themeColor="background2" w:themeShade="1A"/>
          <w:sz w:val="24"/>
          <w:szCs w:val="24"/>
        </w:rPr>
      </w:pPr>
      <w:r w:rsidRPr="00FE10AC">
        <w:rPr>
          <w:rFonts w:ascii="Arial" w:hAnsi="Arial" w:cs="Arial"/>
          <w:b/>
          <w:color w:val="171717" w:themeColor="background2" w:themeShade="1A"/>
          <w:sz w:val="24"/>
          <w:szCs w:val="24"/>
        </w:rPr>
        <w:t>Neni 4</w:t>
      </w:r>
    </w:p>
    <w:p w:rsidR="00E86815" w:rsidRPr="00FE10AC" w:rsidRDefault="00E86815" w:rsidP="00E86815">
      <w:pPr>
        <w:jc w:val="center"/>
        <w:rPr>
          <w:rFonts w:ascii="Arial" w:hAnsi="Arial" w:cs="Arial"/>
          <w:b/>
          <w:color w:val="171717" w:themeColor="background2" w:themeShade="1A"/>
          <w:sz w:val="24"/>
          <w:szCs w:val="24"/>
        </w:rPr>
      </w:pPr>
      <w:r w:rsidRPr="00FE10AC">
        <w:rPr>
          <w:rFonts w:ascii="Arial" w:hAnsi="Arial" w:cs="Arial"/>
          <w:b/>
          <w:color w:val="171717" w:themeColor="background2" w:themeShade="1A"/>
          <w:sz w:val="24"/>
          <w:szCs w:val="24"/>
        </w:rPr>
        <w:t>Publikimi i Konkursit</w:t>
      </w:r>
    </w:p>
    <w:p w:rsidR="00E86815" w:rsidRPr="00FE10AC" w:rsidRDefault="00E86815" w:rsidP="00E86815">
      <w:pPr>
        <w:numPr>
          <w:ilvl w:val="0"/>
          <w:numId w:val="7"/>
        </w:numPr>
        <w:spacing w:after="0" w:line="240"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Publikimin e konkursit e bën Drejtoria Komunale Arsimit, pasi që Kuvendi i Komunës t’a ketë miratuar kërkesën;</w:t>
      </w:r>
    </w:p>
    <w:p w:rsidR="00E86815" w:rsidRPr="00FE10AC" w:rsidRDefault="00E86815" w:rsidP="00E86815">
      <w:pPr>
        <w:numPr>
          <w:ilvl w:val="0"/>
          <w:numId w:val="7"/>
        </w:numPr>
        <w:spacing w:after="0" w:line="240"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Konkursi mbetet i hapur për aplikim, 15 ditë nga dita e shpalljes në ueb faqen e Komunës si dhe në mjetet e tjera të informimit publik;</w:t>
      </w:r>
    </w:p>
    <w:p w:rsidR="00E86815" w:rsidRPr="00FE10AC" w:rsidRDefault="00E86815" w:rsidP="00E86815">
      <w:pPr>
        <w:numPr>
          <w:ilvl w:val="0"/>
          <w:numId w:val="7"/>
        </w:numPr>
        <w:spacing w:after="0" w:line="240"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Konkursi publikohet gjatë muajit tetor të vitit kalendarik;</w:t>
      </w:r>
    </w:p>
    <w:p w:rsidR="00E86815" w:rsidRPr="00FE10AC" w:rsidRDefault="00E86815" w:rsidP="00E86815">
      <w:pPr>
        <w:numPr>
          <w:ilvl w:val="0"/>
          <w:numId w:val="7"/>
        </w:numPr>
        <w:spacing w:after="0" w:line="240"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 xml:space="preserve">Pas mbylljes së konkursit DKA i sjell aplikacionet bashkë me listën e apikuesve (numrin rendor dhe emrin dhe mbiemrin e aplikuesve). </w:t>
      </w:r>
    </w:p>
    <w:p w:rsidR="00E86815" w:rsidRPr="00FE10AC" w:rsidRDefault="00E86815" w:rsidP="00A205A1">
      <w:pPr>
        <w:spacing w:after="0" w:line="240" w:lineRule="auto"/>
        <w:ind w:left="36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 xml:space="preserve">5.Pranim dorëzimi i aplikacioneve bëhet me dorëzimin e drejtorit të DKA-së – pranimi nga kryetari dhe anëtarët e  komisionit, me nënshkrimin e drejtorit dhe kryetarit të komisionit; Formularët e poentimit si dhe veprimet e tjera formale të procesit  i përgatitë komisioni në përputhje të plotë me këtë rregullore. </w:t>
      </w:r>
    </w:p>
    <w:p w:rsidR="005B7B43" w:rsidRDefault="005B7B43" w:rsidP="00E86815">
      <w:pPr>
        <w:jc w:val="center"/>
        <w:rPr>
          <w:rFonts w:ascii="Arial" w:hAnsi="Arial" w:cs="Arial"/>
          <w:b/>
          <w:color w:val="171717" w:themeColor="background2" w:themeShade="1A"/>
          <w:sz w:val="24"/>
          <w:szCs w:val="24"/>
        </w:rPr>
      </w:pPr>
    </w:p>
    <w:p w:rsidR="00E86815" w:rsidRPr="00FE10AC" w:rsidRDefault="00E86815" w:rsidP="00E86815">
      <w:pPr>
        <w:jc w:val="center"/>
        <w:rPr>
          <w:rFonts w:ascii="Arial" w:hAnsi="Arial" w:cs="Arial"/>
          <w:b/>
          <w:color w:val="171717" w:themeColor="background2" w:themeShade="1A"/>
          <w:sz w:val="24"/>
          <w:szCs w:val="24"/>
        </w:rPr>
      </w:pPr>
      <w:r w:rsidRPr="00FE10AC">
        <w:rPr>
          <w:rFonts w:ascii="Arial" w:hAnsi="Arial" w:cs="Arial"/>
          <w:b/>
          <w:color w:val="171717" w:themeColor="background2" w:themeShade="1A"/>
          <w:sz w:val="24"/>
          <w:szCs w:val="24"/>
        </w:rPr>
        <w:t>Neni 5</w:t>
      </w:r>
    </w:p>
    <w:p w:rsidR="00E86815" w:rsidRPr="00FE10AC" w:rsidRDefault="00E86815" w:rsidP="00E86815">
      <w:pPr>
        <w:jc w:val="center"/>
        <w:rPr>
          <w:rFonts w:ascii="Arial" w:hAnsi="Arial" w:cs="Arial"/>
          <w:b/>
          <w:bCs/>
          <w:color w:val="171717" w:themeColor="background2" w:themeShade="1A"/>
          <w:sz w:val="24"/>
          <w:szCs w:val="24"/>
        </w:rPr>
      </w:pPr>
      <w:r w:rsidRPr="00FE10AC">
        <w:rPr>
          <w:rFonts w:ascii="Arial" w:hAnsi="Arial" w:cs="Arial"/>
          <w:b/>
          <w:bCs/>
          <w:color w:val="171717" w:themeColor="background2" w:themeShade="1A"/>
          <w:sz w:val="24"/>
          <w:szCs w:val="24"/>
        </w:rPr>
        <w:t>Kriteret e Përgjithshme dhe të Veçanta për të fituar Bursën</w:t>
      </w:r>
    </w:p>
    <w:p w:rsidR="00E86815" w:rsidRPr="00FE10AC" w:rsidRDefault="00E86815" w:rsidP="00E86815">
      <w:pPr>
        <w:pStyle w:val="ListParagraph"/>
        <w:numPr>
          <w:ilvl w:val="0"/>
          <w:numId w:val="2"/>
        </w:numPr>
        <w:spacing w:after="160" w:line="259" w:lineRule="auto"/>
        <w:ind w:left="270" w:hanging="270"/>
        <w:jc w:val="both"/>
        <w:rPr>
          <w:rFonts w:ascii="Arial" w:hAnsi="Arial" w:cs="Arial"/>
          <w:color w:val="171717" w:themeColor="background2" w:themeShade="1A"/>
          <w:lang w:val="sq-AL"/>
        </w:rPr>
      </w:pPr>
      <w:r w:rsidRPr="00FE10AC">
        <w:rPr>
          <w:rFonts w:ascii="Arial" w:hAnsi="Arial" w:cs="Arial"/>
          <w:color w:val="171717" w:themeColor="background2" w:themeShade="1A"/>
          <w:lang w:val="sq-AL"/>
        </w:rPr>
        <w:t>Shfrytëzues të bursave mund të jenë vetëm studentët me vendbanim të përhershëm në Komunën e Gjilanit;</w:t>
      </w:r>
    </w:p>
    <w:p w:rsidR="00E86815" w:rsidRPr="00FE10AC" w:rsidRDefault="00E86815" w:rsidP="00E86815">
      <w:pPr>
        <w:pStyle w:val="ListParagraph"/>
        <w:numPr>
          <w:ilvl w:val="0"/>
          <w:numId w:val="2"/>
        </w:numPr>
        <w:spacing w:after="160" w:line="259" w:lineRule="auto"/>
        <w:ind w:left="270" w:hanging="270"/>
        <w:jc w:val="both"/>
        <w:rPr>
          <w:rFonts w:ascii="Arial" w:hAnsi="Arial" w:cs="Arial"/>
          <w:color w:val="171717" w:themeColor="background2" w:themeShade="1A"/>
          <w:lang w:val="sq-AL"/>
        </w:rPr>
      </w:pPr>
      <w:r w:rsidRPr="00FE10AC">
        <w:rPr>
          <w:rFonts w:ascii="Arial" w:hAnsi="Arial" w:cs="Arial"/>
          <w:color w:val="171717" w:themeColor="background2" w:themeShade="1A"/>
          <w:lang w:val="sq-AL"/>
        </w:rPr>
        <w:lastRenderedPageBreak/>
        <w:t>Shfrytëzues të bursave studentore mund të jenë vetëm studentët e rregullt;</w:t>
      </w:r>
    </w:p>
    <w:p w:rsidR="00E86815" w:rsidRPr="00FE10AC" w:rsidRDefault="00E86815" w:rsidP="00E86815">
      <w:pPr>
        <w:pStyle w:val="ListParagraph"/>
        <w:numPr>
          <w:ilvl w:val="0"/>
          <w:numId w:val="2"/>
        </w:numPr>
        <w:spacing w:after="160" w:line="259" w:lineRule="auto"/>
        <w:ind w:left="270" w:hanging="270"/>
        <w:jc w:val="both"/>
        <w:rPr>
          <w:rFonts w:ascii="Arial" w:hAnsi="Arial" w:cs="Arial"/>
          <w:color w:val="171717" w:themeColor="background2" w:themeShade="1A"/>
          <w:lang w:val="sq-AL"/>
        </w:rPr>
      </w:pPr>
      <w:r w:rsidRPr="00FE10AC">
        <w:rPr>
          <w:rFonts w:ascii="Arial" w:hAnsi="Arial" w:cs="Arial"/>
          <w:color w:val="171717" w:themeColor="background2" w:themeShade="1A"/>
          <w:lang w:val="sq-AL"/>
        </w:rPr>
        <w:t>Bursat do të ndahen vetëm për studentët që kanë mbaruar një vit e më shumë të studimeve;</w:t>
      </w:r>
    </w:p>
    <w:p w:rsidR="00E86815" w:rsidRPr="00FE10AC" w:rsidRDefault="00E86815" w:rsidP="00E86815">
      <w:pPr>
        <w:pStyle w:val="ListParagraph"/>
        <w:numPr>
          <w:ilvl w:val="0"/>
          <w:numId w:val="2"/>
        </w:numPr>
        <w:spacing w:after="160" w:line="259" w:lineRule="auto"/>
        <w:ind w:left="270" w:hanging="270"/>
        <w:jc w:val="both"/>
        <w:rPr>
          <w:rFonts w:ascii="Arial" w:hAnsi="Arial" w:cs="Arial"/>
          <w:color w:val="171717" w:themeColor="background2" w:themeShade="1A"/>
          <w:lang w:val="sq-AL"/>
        </w:rPr>
      </w:pPr>
      <w:r w:rsidRPr="00FE10AC">
        <w:rPr>
          <w:rFonts w:ascii="Arial" w:hAnsi="Arial" w:cs="Arial"/>
          <w:color w:val="171717" w:themeColor="background2" w:themeShade="1A"/>
          <w:lang w:val="sq-AL"/>
        </w:rPr>
        <w:t>30% të bursave u ndahen studentëve të drejtimeve deficitare. Në rastet kur nuk përmbushet kjo kuotë, atëherë plotësohet me student nga drejtimet e tjera;</w:t>
      </w:r>
    </w:p>
    <w:p w:rsidR="00E86815" w:rsidRPr="00FE10AC" w:rsidRDefault="00E86815" w:rsidP="00E86815">
      <w:pPr>
        <w:pStyle w:val="ListParagraph"/>
        <w:numPr>
          <w:ilvl w:val="0"/>
          <w:numId w:val="2"/>
        </w:numPr>
        <w:spacing w:line="259" w:lineRule="auto"/>
        <w:ind w:left="270" w:hanging="270"/>
        <w:jc w:val="both"/>
        <w:rPr>
          <w:rFonts w:ascii="Arial" w:hAnsi="Arial" w:cs="Arial"/>
          <w:color w:val="171717" w:themeColor="background2" w:themeShade="1A"/>
          <w:lang w:val="sq-AL"/>
        </w:rPr>
      </w:pPr>
      <w:r w:rsidRPr="00FE10AC">
        <w:rPr>
          <w:rFonts w:ascii="Arial" w:hAnsi="Arial" w:cs="Arial"/>
          <w:color w:val="171717" w:themeColor="background2" w:themeShade="1A"/>
          <w:lang w:val="sq-AL"/>
        </w:rPr>
        <w:t>Nuk mund të jenë përfitues i bursës studenti që është i punësuar;</w:t>
      </w:r>
    </w:p>
    <w:p w:rsidR="00E86815" w:rsidRPr="00FE10AC" w:rsidRDefault="00E86815" w:rsidP="00E86815">
      <w:pPr>
        <w:numPr>
          <w:ilvl w:val="0"/>
          <w:numId w:val="2"/>
        </w:numPr>
        <w:spacing w:after="0" w:line="240"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Asnjë student nuk mund të jetë përfitues i bursës, nëse konstatohet se është përfitues i ndonjë burse tjetër</w:t>
      </w:r>
      <w:r w:rsidR="00A205A1" w:rsidRPr="00FE10AC">
        <w:rPr>
          <w:rFonts w:ascii="Arial" w:hAnsi="Arial" w:cs="Arial"/>
          <w:color w:val="171717" w:themeColor="background2" w:themeShade="1A"/>
          <w:sz w:val="24"/>
          <w:szCs w:val="24"/>
        </w:rPr>
        <w:t>.</w:t>
      </w:r>
    </w:p>
    <w:p w:rsidR="00E86815" w:rsidRPr="00FE10AC" w:rsidRDefault="00E86815" w:rsidP="00E86815">
      <w:pPr>
        <w:pStyle w:val="ListParagraph"/>
        <w:numPr>
          <w:ilvl w:val="0"/>
          <w:numId w:val="2"/>
        </w:numPr>
        <w:jc w:val="both"/>
        <w:rPr>
          <w:rFonts w:ascii="Arial" w:hAnsi="Arial" w:cs="Arial"/>
          <w:b/>
          <w:i/>
          <w:color w:val="171717" w:themeColor="background2" w:themeShade="1A"/>
        </w:rPr>
      </w:pPr>
      <w:r w:rsidRPr="00FE10AC">
        <w:rPr>
          <w:rFonts w:ascii="Arial" w:hAnsi="Arial" w:cs="Arial"/>
          <w:color w:val="171717" w:themeColor="background2" w:themeShade="1A"/>
        </w:rPr>
        <w:t xml:space="preserve">  </w:t>
      </w:r>
      <w:r w:rsidRPr="00FE10AC">
        <w:rPr>
          <w:rFonts w:ascii="Arial" w:hAnsi="Arial" w:cs="Arial"/>
          <w:b/>
          <w:i/>
          <w:color w:val="171717" w:themeColor="background2" w:themeShade="1A"/>
          <w:lang w:val="sq-AL"/>
        </w:rPr>
        <w:t>Shfrytëzues të bursave mund të jenë vetëm studentët me</w:t>
      </w:r>
      <w:r w:rsidRPr="00FE10AC">
        <w:rPr>
          <w:rFonts w:ascii="Arial" w:hAnsi="Arial" w:cs="Arial"/>
          <w:b/>
          <w:i/>
          <w:color w:val="171717" w:themeColor="background2" w:themeShade="1A"/>
        </w:rPr>
        <w:t xml:space="preserve"> notë mesatare 7.5 e më lartë, përveç studentëve të: Fakultetit të Mjekësisë (drejtimi i përgjithshëm), Fakulteti Teknik, FSHMN (drejtimet: matematikë, fizikë, kimi dhe biologji),</w:t>
      </w:r>
      <w:r w:rsidRPr="00FE10AC">
        <w:rPr>
          <w:rFonts w:ascii="Arial" w:hAnsi="Arial" w:cs="Arial"/>
          <w:color w:val="171717" w:themeColor="background2" w:themeShade="1A"/>
        </w:rPr>
        <w:t xml:space="preserve"> </w:t>
      </w:r>
      <w:r w:rsidRPr="00FE10AC">
        <w:rPr>
          <w:rFonts w:ascii="Arial" w:hAnsi="Arial" w:cs="Arial"/>
          <w:b/>
          <w:i/>
          <w:color w:val="171717" w:themeColor="background2" w:themeShade="1A"/>
        </w:rPr>
        <w:t>që mund të përfitojnë bursë edhe me notë mesatare 6.</w:t>
      </w:r>
    </w:p>
    <w:p w:rsidR="00E86815" w:rsidRPr="00FE10AC" w:rsidRDefault="00E86815" w:rsidP="00E86815">
      <w:pPr>
        <w:pStyle w:val="ListParagraph"/>
        <w:jc w:val="both"/>
        <w:rPr>
          <w:rFonts w:ascii="Arial" w:hAnsi="Arial" w:cs="Arial"/>
          <w:i/>
          <w:color w:val="171717" w:themeColor="background2" w:themeShade="1A"/>
        </w:rPr>
      </w:pPr>
    </w:p>
    <w:p w:rsidR="00E86815" w:rsidRPr="00FE10AC" w:rsidRDefault="00E86815" w:rsidP="00E86815">
      <w:pPr>
        <w:pStyle w:val="ListParagraph"/>
        <w:numPr>
          <w:ilvl w:val="0"/>
          <w:numId w:val="2"/>
        </w:numPr>
        <w:jc w:val="both"/>
        <w:rPr>
          <w:rFonts w:ascii="Arial" w:hAnsi="Arial" w:cs="Arial"/>
          <w:b/>
          <w:i/>
          <w:color w:val="171717" w:themeColor="background2" w:themeShade="1A"/>
        </w:rPr>
      </w:pPr>
      <w:r w:rsidRPr="00FE10AC">
        <w:rPr>
          <w:rFonts w:ascii="Arial" w:hAnsi="Arial" w:cs="Arial"/>
          <w:b/>
          <w:i/>
          <w:color w:val="171717" w:themeColor="background2" w:themeShade="1A"/>
        </w:rPr>
        <w:t xml:space="preserve">Nëse asnjeri nga studentët e cili do drejtim (degë) i ndonjërit nga fakultetet që kanë konkurruar për bursë, nuk kanë arritur në bazë të kritereve të kësaj Rregulloreje të fitojnë bursë, atëherë dy studentët me suksesin më të lartë të drejtimit gjegjës e fitojnë bursën edhe me notë më të ulët mesatare. </w:t>
      </w:r>
    </w:p>
    <w:p w:rsidR="00E86815" w:rsidRPr="00FE10AC" w:rsidRDefault="00E86815" w:rsidP="00E86815">
      <w:pPr>
        <w:pStyle w:val="ListParagraph"/>
        <w:spacing w:line="259" w:lineRule="auto"/>
        <w:ind w:left="270"/>
        <w:jc w:val="center"/>
        <w:rPr>
          <w:rFonts w:ascii="Arial" w:hAnsi="Arial" w:cs="Arial"/>
          <w:b/>
          <w:color w:val="171717" w:themeColor="background2" w:themeShade="1A"/>
          <w:lang w:val="sq-AL"/>
        </w:rPr>
      </w:pPr>
      <w:r w:rsidRPr="00FE10AC">
        <w:rPr>
          <w:rFonts w:ascii="Arial" w:hAnsi="Arial" w:cs="Arial"/>
          <w:b/>
          <w:color w:val="171717" w:themeColor="background2" w:themeShade="1A"/>
          <w:lang w:val="sq-AL"/>
        </w:rPr>
        <w:t>Neni 6</w:t>
      </w:r>
    </w:p>
    <w:p w:rsidR="00E86815" w:rsidRPr="00FE10AC" w:rsidRDefault="00E86815" w:rsidP="00E86815">
      <w:pPr>
        <w:jc w:val="center"/>
        <w:rPr>
          <w:rFonts w:ascii="Arial" w:hAnsi="Arial" w:cs="Arial"/>
          <w:b/>
          <w:bCs/>
          <w:color w:val="171717" w:themeColor="background2" w:themeShade="1A"/>
          <w:sz w:val="24"/>
          <w:szCs w:val="24"/>
        </w:rPr>
      </w:pPr>
      <w:r w:rsidRPr="00FE10AC">
        <w:rPr>
          <w:rFonts w:ascii="Arial" w:hAnsi="Arial" w:cs="Arial"/>
          <w:b/>
          <w:bCs/>
          <w:color w:val="171717" w:themeColor="background2" w:themeShade="1A"/>
          <w:sz w:val="24"/>
          <w:szCs w:val="24"/>
        </w:rPr>
        <w:t>Kriteret e veçanta për të fituar bursën dhe poentimi</w:t>
      </w:r>
    </w:p>
    <w:p w:rsidR="00E86815" w:rsidRPr="00FE10AC" w:rsidRDefault="00E86815" w:rsidP="00E86815">
      <w:pPr>
        <w:pStyle w:val="ListParagraph"/>
        <w:numPr>
          <w:ilvl w:val="0"/>
          <w:numId w:val="3"/>
        </w:numPr>
        <w:spacing w:after="160" w:line="259" w:lineRule="auto"/>
        <w:ind w:left="270" w:hanging="270"/>
        <w:jc w:val="both"/>
        <w:rPr>
          <w:rFonts w:ascii="Arial" w:hAnsi="Arial" w:cs="Arial"/>
          <w:color w:val="171717" w:themeColor="background2" w:themeShade="1A"/>
          <w:lang w:val="sq-AL"/>
        </w:rPr>
      </w:pPr>
      <w:r w:rsidRPr="00FE10AC">
        <w:rPr>
          <w:rFonts w:ascii="Arial" w:hAnsi="Arial" w:cs="Arial"/>
          <w:color w:val="171717" w:themeColor="background2" w:themeShade="1A"/>
          <w:lang w:val="sq-AL"/>
        </w:rPr>
        <w:t>Nota mesatare - poentimi bëhet mbi bazën e notes mesatare._____</w:t>
      </w:r>
    </w:p>
    <w:p w:rsidR="00E86815" w:rsidRPr="00FE10AC" w:rsidRDefault="00E86815" w:rsidP="00E86815">
      <w:pPr>
        <w:pStyle w:val="ListParagraph"/>
        <w:numPr>
          <w:ilvl w:val="0"/>
          <w:numId w:val="3"/>
        </w:numPr>
        <w:spacing w:after="160" w:line="259" w:lineRule="auto"/>
        <w:ind w:left="270" w:hanging="270"/>
        <w:jc w:val="both"/>
        <w:rPr>
          <w:rFonts w:ascii="Arial" w:hAnsi="Arial" w:cs="Arial"/>
          <w:color w:val="171717" w:themeColor="background2" w:themeShade="1A"/>
          <w:lang w:val="sq-AL"/>
        </w:rPr>
      </w:pPr>
      <w:r w:rsidRPr="00FE10AC">
        <w:rPr>
          <w:rFonts w:ascii="Arial" w:hAnsi="Arial" w:cs="Arial"/>
          <w:color w:val="171717" w:themeColor="background2" w:themeShade="1A"/>
          <w:lang w:val="sq-AL"/>
        </w:rPr>
        <w:t xml:space="preserve">Studentët të cilët janë fëmijë të dëshmorëve dhe veteraneve të UÇK-së e fitojnë 1 pikështesë. </w:t>
      </w:r>
    </w:p>
    <w:p w:rsidR="00E86815" w:rsidRPr="00FE10AC" w:rsidRDefault="00E86815" w:rsidP="00E86815">
      <w:pPr>
        <w:pStyle w:val="ListParagraph"/>
        <w:numPr>
          <w:ilvl w:val="0"/>
          <w:numId w:val="3"/>
        </w:numPr>
        <w:spacing w:after="160" w:line="259" w:lineRule="auto"/>
        <w:ind w:left="270" w:hanging="270"/>
        <w:jc w:val="both"/>
        <w:rPr>
          <w:rFonts w:ascii="Arial" w:hAnsi="Arial" w:cs="Arial"/>
          <w:color w:val="171717" w:themeColor="background2" w:themeShade="1A"/>
          <w:lang w:val="sq-AL"/>
        </w:rPr>
      </w:pPr>
      <w:r w:rsidRPr="00FE10AC">
        <w:rPr>
          <w:rFonts w:ascii="Arial" w:hAnsi="Arial" w:cs="Arial"/>
          <w:color w:val="171717" w:themeColor="background2" w:themeShade="1A"/>
          <w:lang w:val="sq-AL"/>
        </w:rPr>
        <w:t xml:space="preserve">Studentët familjet e të cilëve janë përfitues të asistencës sociale 1 pikë.  </w:t>
      </w:r>
    </w:p>
    <w:p w:rsidR="00E86815" w:rsidRPr="00FE10AC" w:rsidRDefault="00E86815" w:rsidP="00E86815">
      <w:pPr>
        <w:pStyle w:val="ListParagraph"/>
        <w:numPr>
          <w:ilvl w:val="0"/>
          <w:numId w:val="3"/>
        </w:numPr>
        <w:spacing w:after="160" w:line="259" w:lineRule="auto"/>
        <w:ind w:left="0" w:hanging="270"/>
        <w:jc w:val="both"/>
        <w:rPr>
          <w:rFonts w:ascii="Arial" w:hAnsi="Arial" w:cs="Arial"/>
          <w:color w:val="171717" w:themeColor="background2" w:themeShade="1A"/>
          <w:lang w:val="sq-AL"/>
        </w:rPr>
      </w:pPr>
      <w:r w:rsidRPr="00FE10AC">
        <w:rPr>
          <w:rFonts w:ascii="Arial" w:hAnsi="Arial" w:cs="Arial"/>
          <w:color w:val="171717" w:themeColor="background2" w:themeShade="1A"/>
          <w:lang w:val="sq-AL"/>
        </w:rPr>
        <w:t>Studenti/ja i/e cili nuk i/e ka njërin ose dy prindërit në jetë 1 pikë .</w:t>
      </w:r>
    </w:p>
    <w:p w:rsidR="00E86815" w:rsidRPr="00FE10AC" w:rsidRDefault="00E86815" w:rsidP="00E86815">
      <w:pPr>
        <w:pStyle w:val="ListParagraph"/>
        <w:numPr>
          <w:ilvl w:val="0"/>
          <w:numId w:val="3"/>
        </w:numPr>
        <w:spacing w:after="160" w:line="259" w:lineRule="auto"/>
        <w:ind w:left="0" w:hanging="270"/>
        <w:jc w:val="both"/>
        <w:rPr>
          <w:rFonts w:ascii="Arial" w:hAnsi="Arial" w:cs="Arial"/>
          <w:color w:val="171717" w:themeColor="background2" w:themeShade="1A"/>
          <w:lang w:val="sq-AL"/>
        </w:rPr>
      </w:pPr>
      <w:r w:rsidRPr="00FE10AC">
        <w:rPr>
          <w:rFonts w:ascii="Arial" w:hAnsi="Arial" w:cs="Arial"/>
          <w:color w:val="171717" w:themeColor="background2" w:themeShade="1A"/>
          <w:lang w:val="sq-AL"/>
        </w:rPr>
        <w:t>Studentët të cilët notën mesatare e kanë mbi 7.5, (me notën mesatare 7.5, i fitojnë 7.5 pikë)</w:t>
      </w:r>
    </w:p>
    <w:p w:rsidR="00E86815" w:rsidRPr="00FE10AC" w:rsidRDefault="00E86815" w:rsidP="00E86815">
      <w:pPr>
        <w:pStyle w:val="ListParagraph"/>
        <w:numPr>
          <w:ilvl w:val="0"/>
          <w:numId w:val="3"/>
        </w:numPr>
        <w:spacing w:after="160" w:line="259" w:lineRule="auto"/>
        <w:ind w:left="0" w:hanging="270"/>
        <w:jc w:val="both"/>
        <w:rPr>
          <w:rFonts w:ascii="Arial" w:hAnsi="Arial" w:cs="Arial"/>
          <w:color w:val="171717" w:themeColor="background2" w:themeShade="1A"/>
          <w:lang w:val="sq-AL"/>
        </w:rPr>
      </w:pPr>
      <w:r w:rsidRPr="00FE10AC">
        <w:rPr>
          <w:rFonts w:ascii="Arial" w:hAnsi="Arial" w:cs="Arial"/>
          <w:color w:val="171717" w:themeColor="background2" w:themeShade="1A"/>
          <w:lang w:val="sq-AL"/>
        </w:rPr>
        <w:t>Studentët nuk mund të përfitojnë më shumë se një pikë shtesë përtej pikëve të fituara me notë mesatare.</w:t>
      </w:r>
    </w:p>
    <w:p w:rsidR="00E86815" w:rsidRPr="00FE10AC" w:rsidRDefault="00E86815" w:rsidP="005B7B43">
      <w:pPr>
        <w:pStyle w:val="ListParagraph"/>
        <w:tabs>
          <w:tab w:val="left" w:pos="5400"/>
        </w:tabs>
        <w:spacing w:line="259" w:lineRule="auto"/>
        <w:jc w:val="center"/>
        <w:rPr>
          <w:rFonts w:ascii="Arial" w:hAnsi="Arial" w:cs="Arial"/>
          <w:b/>
          <w:color w:val="171717" w:themeColor="background2" w:themeShade="1A"/>
          <w:lang w:val="sq-AL"/>
        </w:rPr>
      </w:pPr>
      <w:r w:rsidRPr="00FE10AC">
        <w:rPr>
          <w:rFonts w:ascii="Arial" w:hAnsi="Arial" w:cs="Arial"/>
          <w:b/>
          <w:color w:val="171717" w:themeColor="background2" w:themeShade="1A"/>
          <w:lang w:val="sq-AL"/>
        </w:rPr>
        <w:t>Neni 7</w:t>
      </w:r>
    </w:p>
    <w:p w:rsidR="00E86815" w:rsidRPr="005B7B43" w:rsidRDefault="00E86815" w:rsidP="005B7B43">
      <w:pPr>
        <w:jc w:val="center"/>
        <w:rPr>
          <w:rFonts w:ascii="Arial" w:hAnsi="Arial" w:cs="Arial"/>
          <w:bCs/>
          <w:color w:val="171717" w:themeColor="background2" w:themeShade="1A"/>
          <w:sz w:val="24"/>
          <w:szCs w:val="24"/>
        </w:rPr>
      </w:pPr>
      <w:r w:rsidRPr="00FE10AC">
        <w:rPr>
          <w:rFonts w:ascii="Arial" w:hAnsi="Arial" w:cs="Arial"/>
          <w:b/>
          <w:bCs/>
          <w:color w:val="171717" w:themeColor="background2" w:themeShade="1A"/>
          <w:sz w:val="24"/>
          <w:szCs w:val="24"/>
        </w:rPr>
        <w:t xml:space="preserve">Dokumentet e nevojshme </w:t>
      </w:r>
      <w:r w:rsidRPr="005B7B43">
        <w:rPr>
          <w:rFonts w:ascii="Arial" w:hAnsi="Arial" w:cs="Arial"/>
          <w:bCs/>
          <w:color w:val="171717" w:themeColor="background2" w:themeShade="1A"/>
          <w:sz w:val="24"/>
          <w:szCs w:val="24"/>
        </w:rPr>
        <w:t>për Aplikim</w:t>
      </w:r>
    </w:p>
    <w:p w:rsidR="00E86815" w:rsidRPr="00FE10AC" w:rsidRDefault="00E86815" w:rsidP="00E86815">
      <w:pPr>
        <w:pStyle w:val="ListParagraph"/>
        <w:numPr>
          <w:ilvl w:val="0"/>
          <w:numId w:val="4"/>
        </w:numPr>
        <w:spacing w:line="259" w:lineRule="auto"/>
        <w:ind w:left="270" w:hanging="270"/>
        <w:jc w:val="both"/>
        <w:rPr>
          <w:rFonts w:ascii="Arial" w:hAnsi="Arial" w:cs="Arial"/>
          <w:color w:val="171717" w:themeColor="background2" w:themeShade="1A"/>
          <w:lang w:val="sq-AL"/>
        </w:rPr>
      </w:pPr>
      <w:r w:rsidRPr="00FE10AC">
        <w:rPr>
          <w:rFonts w:ascii="Arial" w:hAnsi="Arial" w:cs="Arial"/>
          <w:color w:val="171717" w:themeColor="background2" w:themeShade="1A"/>
          <w:lang w:val="sq-AL"/>
        </w:rPr>
        <w:t xml:space="preserve">Certifikata e notave </w:t>
      </w:r>
    </w:p>
    <w:p w:rsidR="00E86815" w:rsidRPr="00FE10AC" w:rsidRDefault="00E86815" w:rsidP="00E86815">
      <w:pPr>
        <w:pStyle w:val="ListParagraph"/>
        <w:numPr>
          <w:ilvl w:val="0"/>
          <w:numId w:val="4"/>
        </w:numPr>
        <w:spacing w:after="160" w:line="259" w:lineRule="auto"/>
        <w:ind w:left="270" w:hanging="270"/>
        <w:jc w:val="both"/>
        <w:rPr>
          <w:rFonts w:ascii="Arial" w:hAnsi="Arial" w:cs="Arial"/>
          <w:color w:val="171717" w:themeColor="background2" w:themeShade="1A"/>
          <w:lang w:val="sq-AL"/>
        </w:rPr>
      </w:pPr>
      <w:r w:rsidRPr="00FE10AC">
        <w:rPr>
          <w:rFonts w:ascii="Arial" w:hAnsi="Arial" w:cs="Arial"/>
          <w:color w:val="171717" w:themeColor="background2" w:themeShade="1A"/>
          <w:lang w:val="sq-AL"/>
        </w:rPr>
        <w:t>Certifikata mbi vendbanimin e përhershëm;</w:t>
      </w:r>
    </w:p>
    <w:p w:rsidR="00E86815" w:rsidRPr="00FE10AC" w:rsidRDefault="00E86815" w:rsidP="00E86815">
      <w:pPr>
        <w:pStyle w:val="ListParagraph"/>
        <w:numPr>
          <w:ilvl w:val="0"/>
          <w:numId w:val="4"/>
        </w:numPr>
        <w:spacing w:after="160" w:line="259" w:lineRule="auto"/>
        <w:ind w:left="270" w:hanging="270"/>
        <w:jc w:val="both"/>
        <w:rPr>
          <w:rFonts w:ascii="Arial" w:hAnsi="Arial" w:cs="Arial"/>
          <w:color w:val="171717" w:themeColor="background2" w:themeShade="1A"/>
          <w:lang w:val="sq-AL"/>
        </w:rPr>
      </w:pPr>
      <w:r w:rsidRPr="00FE10AC">
        <w:rPr>
          <w:rFonts w:ascii="Arial" w:hAnsi="Arial" w:cs="Arial"/>
          <w:color w:val="171717" w:themeColor="background2" w:themeShade="1A"/>
          <w:lang w:val="sq-AL"/>
        </w:rPr>
        <w:t>Kopja e letërnjoftimit;</w:t>
      </w:r>
    </w:p>
    <w:p w:rsidR="00E86815" w:rsidRPr="00FE10AC" w:rsidRDefault="00E86815" w:rsidP="00E86815">
      <w:pPr>
        <w:pStyle w:val="ListParagraph"/>
        <w:numPr>
          <w:ilvl w:val="0"/>
          <w:numId w:val="4"/>
        </w:numPr>
        <w:spacing w:after="160" w:line="259" w:lineRule="auto"/>
        <w:ind w:left="270" w:hanging="270"/>
        <w:jc w:val="both"/>
        <w:rPr>
          <w:rFonts w:ascii="Arial" w:hAnsi="Arial" w:cs="Arial"/>
          <w:color w:val="171717" w:themeColor="background2" w:themeShade="1A"/>
          <w:lang w:val="sq-AL"/>
        </w:rPr>
      </w:pPr>
      <w:r w:rsidRPr="00FE10AC">
        <w:rPr>
          <w:rFonts w:ascii="Arial" w:hAnsi="Arial" w:cs="Arial"/>
          <w:color w:val="171717" w:themeColor="background2" w:themeShade="1A"/>
          <w:lang w:val="sq-AL"/>
        </w:rPr>
        <w:t>Vërtetimi se studenti/ja ka regjistruar vitin akademik , i/e rregullt;</w:t>
      </w:r>
    </w:p>
    <w:p w:rsidR="00E86815" w:rsidRPr="00FE10AC" w:rsidRDefault="00E86815" w:rsidP="00E86815">
      <w:pPr>
        <w:pStyle w:val="ListParagraph"/>
        <w:numPr>
          <w:ilvl w:val="0"/>
          <w:numId w:val="4"/>
        </w:numPr>
        <w:tabs>
          <w:tab w:val="left" w:pos="270"/>
        </w:tabs>
        <w:spacing w:after="160" w:line="259" w:lineRule="auto"/>
        <w:ind w:left="0" w:firstLine="0"/>
        <w:jc w:val="both"/>
        <w:rPr>
          <w:rFonts w:ascii="Arial" w:hAnsi="Arial" w:cs="Arial"/>
          <w:color w:val="171717" w:themeColor="background2" w:themeShade="1A"/>
          <w:lang w:val="sq-AL"/>
        </w:rPr>
      </w:pPr>
      <w:r w:rsidRPr="00FE10AC">
        <w:rPr>
          <w:rFonts w:ascii="Arial" w:hAnsi="Arial" w:cs="Arial"/>
          <w:color w:val="171717" w:themeColor="background2" w:themeShade="1A"/>
          <w:lang w:val="sq-AL"/>
        </w:rPr>
        <w:t>Vërtetimi se studenti/ja është fëmijë i dëshmorit/es;</w:t>
      </w:r>
    </w:p>
    <w:p w:rsidR="00E86815" w:rsidRPr="00FE10AC" w:rsidRDefault="00E86815" w:rsidP="00E86815">
      <w:pPr>
        <w:pStyle w:val="ListParagraph"/>
        <w:numPr>
          <w:ilvl w:val="0"/>
          <w:numId w:val="4"/>
        </w:numPr>
        <w:tabs>
          <w:tab w:val="left" w:pos="270"/>
          <w:tab w:val="left" w:pos="360"/>
        </w:tabs>
        <w:spacing w:after="160" w:line="259" w:lineRule="auto"/>
        <w:ind w:left="270" w:hanging="270"/>
        <w:jc w:val="both"/>
        <w:rPr>
          <w:rFonts w:ascii="Arial" w:hAnsi="Arial" w:cs="Arial"/>
          <w:color w:val="171717" w:themeColor="background2" w:themeShade="1A"/>
          <w:lang w:val="sq-AL"/>
        </w:rPr>
      </w:pPr>
      <w:r w:rsidRPr="00FE10AC">
        <w:rPr>
          <w:rFonts w:ascii="Arial" w:hAnsi="Arial" w:cs="Arial"/>
          <w:color w:val="171717" w:themeColor="background2" w:themeShade="1A"/>
          <w:lang w:val="sq-AL"/>
        </w:rPr>
        <w:t xml:space="preserve">Dëshminë e xhirollogari së bankare të konfirmuar nga banka përkatëse; </w:t>
      </w:r>
    </w:p>
    <w:p w:rsidR="00E86815" w:rsidRPr="00FE10AC" w:rsidRDefault="00E86815" w:rsidP="00857401">
      <w:pPr>
        <w:pStyle w:val="ListParagraph"/>
        <w:numPr>
          <w:ilvl w:val="0"/>
          <w:numId w:val="4"/>
        </w:numPr>
        <w:tabs>
          <w:tab w:val="left" w:pos="270"/>
        </w:tabs>
        <w:spacing w:after="160" w:line="259" w:lineRule="auto"/>
        <w:ind w:left="270" w:hanging="270"/>
        <w:jc w:val="both"/>
        <w:rPr>
          <w:rFonts w:ascii="Arial" w:hAnsi="Arial" w:cs="Arial"/>
          <w:color w:val="171717" w:themeColor="background2" w:themeShade="1A"/>
          <w:lang w:val="sq-AL"/>
        </w:rPr>
      </w:pPr>
      <w:r w:rsidRPr="00FE10AC">
        <w:rPr>
          <w:rFonts w:ascii="Arial" w:hAnsi="Arial" w:cs="Arial"/>
          <w:color w:val="171717" w:themeColor="background2" w:themeShade="1A"/>
          <w:lang w:val="sq-AL"/>
        </w:rPr>
        <w:t xml:space="preserve">Vërtetim nga fakulteti përkatës që nuk është përfitues i ndonjë burse </w:t>
      </w:r>
      <w:r w:rsidRPr="00FE10AC">
        <w:rPr>
          <w:rFonts w:ascii="Arial" w:hAnsi="Arial" w:cs="Arial"/>
          <w:b/>
          <w:color w:val="171717" w:themeColor="background2" w:themeShade="1A"/>
          <w:lang w:val="sq-AL"/>
        </w:rPr>
        <w:t>tjetër</w:t>
      </w:r>
      <w:r w:rsidRPr="00FE10AC">
        <w:rPr>
          <w:rFonts w:ascii="Arial" w:hAnsi="Arial" w:cs="Arial"/>
          <w:color w:val="171717" w:themeColor="background2" w:themeShade="1A"/>
          <w:lang w:val="sq-AL"/>
        </w:rPr>
        <w:t xml:space="preserve">; </w:t>
      </w:r>
    </w:p>
    <w:p w:rsidR="00E86815" w:rsidRPr="00FE10AC" w:rsidRDefault="00E86815" w:rsidP="00E86815">
      <w:pPr>
        <w:pStyle w:val="ListParagraph"/>
        <w:tabs>
          <w:tab w:val="left" w:pos="270"/>
        </w:tabs>
        <w:spacing w:after="160" w:line="259" w:lineRule="auto"/>
        <w:ind w:left="270"/>
        <w:jc w:val="both"/>
        <w:rPr>
          <w:rFonts w:ascii="Arial" w:hAnsi="Arial" w:cs="Arial"/>
          <w:color w:val="171717" w:themeColor="background2" w:themeShade="1A"/>
          <w:lang w:val="sq-AL"/>
        </w:rPr>
      </w:pPr>
      <w:r w:rsidRPr="00FE10AC">
        <w:rPr>
          <w:rFonts w:ascii="Arial" w:hAnsi="Arial" w:cs="Arial"/>
          <w:color w:val="171717" w:themeColor="background2" w:themeShade="1A"/>
          <w:lang w:val="sq-AL"/>
        </w:rPr>
        <w:t xml:space="preserve">             Me njërën nga dëshmitë e poshtëshënuara mund ta fitoni një pikë shtesë</w:t>
      </w:r>
    </w:p>
    <w:p w:rsidR="00E86815" w:rsidRPr="00FE10AC" w:rsidRDefault="00E86815" w:rsidP="00E86815">
      <w:pPr>
        <w:pStyle w:val="ListParagraph"/>
        <w:tabs>
          <w:tab w:val="left" w:pos="270"/>
        </w:tabs>
        <w:spacing w:after="160" w:line="259" w:lineRule="auto"/>
        <w:ind w:left="0"/>
        <w:jc w:val="both"/>
        <w:rPr>
          <w:rFonts w:ascii="Arial" w:hAnsi="Arial" w:cs="Arial"/>
          <w:color w:val="171717" w:themeColor="background2" w:themeShade="1A"/>
          <w:lang w:val="sq-AL"/>
        </w:rPr>
      </w:pPr>
    </w:p>
    <w:p w:rsidR="00E86815" w:rsidRPr="00FE10AC" w:rsidRDefault="00E86815" w:rsidP="00E86815">
      <w:pPr>
        <w:pStyle w:val="ListParagraph"/>
        <w:numPr>
          <w:ilvl w:val="0"/>
          <w:numId w:val="4"/>
        </w:numPr>
        <w:tabs>
          <w:tab w:val="left" w:pos="270"/>
        </w:tabs>
        <w:spacing w:after="160" w:line="259" w:lineRule="auto"/>
        <w:ind w:left="270" w:hanging="270"/>
        <w:jc w:val="both"/>
        <w:rPr>
          <w:rFonts w:ascii="Arial" w:hAnsi="Arial" w:cs="Arial"/>
          <w:color w:val="171717" w:themeColor="background2" w:themeShade="1A"/>
          <w:lang w:val="sq-AL"/>
        </w:rPr>
      </w:pPr>
      <w:r w:rsidRPr="00FE10AC">
        <w:rPr>
          <w:rFonts w:ascii="Arial" w:hAnsi="Arial" w:cs="Arial"/>
          <w:color w:val="171717" w:themeColor="background2" w:themeShade="1A"/>
          <w:lang w:val="sq-AL"/>
        </w:rPr>
        <w:t xml:space="preserve">Dëshmi  - vërtetimi i asistencës sociale </w:t>
      </w:r>
    </w:p>
    <w:p w:rsidR="00E86815" w:rsidRPr="00FE10AC" w:rsidRDefault="00E86815" w:rsidP="00E86815">
      <w:pPr>
        <w:pStyle w:val="ListParagraph"/>
        <w:numPr>
          <w:ilvl w:val="0"/>
          <w:numId w:val="4"/>
        </w:numPr>
        <w:tabs>
          <w:tab w:val="left" w:pos="270"/>
        </w:tabs>
        <w:spacing w:after="160" w:line="259" w:lineRule="auto"/>
        <w:ind w:left="270" w:hanging="270"/>
        <w:jc w:val="both"/>
        <w:rPr>
          <w:rFonts w:ascii="Arial" w:hAnsi="Arial" w:cs="Arial"/>
          <w:color w:val="171717" w:themeColor="background2" w:themeShade="1A"/>
          <w:lang w:val="sq-AL"/>
        </w:rPr>
      </w:pPr>
      <w:r w:rsidRPr="00FE10AC">
        <w:rPr>
          <w:rFonts w:ascii="Arial" w:hAnsi="Arial" w:cs="Arial"/>
          <w:color w:val="171717" w:themeColor="background2" w:themeShade="1A"/>
          <w:lang w:val="sq-AL"/>
        </w:rPr>
        <w:t>Dëshmi se studenti/ja nuk e ka njërin apo dy prindërit në jetë;</w:t>
      </w:r>
    </w:p>
    <w:p w:rsidR="00E86815" w:rsidRPr="00FE10AC" w:rsidRDefault="00E86815" w:rsidP="00E86815">
      <w:pPr>
        <w:pStyle w:val="ListParagraph"/>
        <w:numPr>
          <w:ilvl w:val="0"/>
          <w:numId w:val="4"/>
        </w:numPr>
        <w:tabs>
          <w:tab w:val="left" w:pos="270"/>
        </w:tabs>
        <w:spacing w:after="160" w:line="259" w:lineRule="auto"/>
        <w:ind w:left="0" w:firstLine="0"/>
        <w:jc w:val="both"/>
        <w:rPr>
          <w:rFonts w:ascii="Arial" w:hAnsi="Arial" w:cs="Arial"/>
          <w:color w:val="171717" w:themeColor="background2" w:themeShade="1A"/>
          <w:lang w:val="sq-AL"/>
        </w:rPr>
      </w:pPr>
      <w:r w:rsidRPr="00FE10AC">
        <w:rPr>
          <w:rFonts w:ascii="Arial" w:hAnsi="Arial" w:cs="Arial"/>
          <w:color w:val="171717" w:themeColor="background2" w:themeShade="1A"/>
          <w:lang w:val="sq-AL"/>
        </w:rPr>
        <w:t>Vërtetimi se studenti/ja është fëmijë i dëshmorit/së;</w:t>
      </w:r>
    </w:p>
    <w:p w:rsidR="00E86815" w:rsidRPr="00FE10AC" w:rsidRDefault="00E86815" w:rsidP="00E86815">
      <w:pPr>
        <w:pStyle w:val="ListParagraph"/>
        <w:numPr>
          <w:ilvl w:val="0"/>
          <w:numId w:val="4"/>
        </w:numPr>
        <w:tabs>
          <w:tab w:val="left" w:pos="270"/>
          <w:tab w:val="left" w:pos="360"/>
        </w:tabs>
        <w:spacing w:after="160" w:line="259" w:lineRule="auto"/>
        <w:ind w:left="270" w:hanging="270"/>
        <w:jc w:val="both"/>
        <w:rPr>
          <w:rFonts w:ascii="Arial" w:hAnsi="Arial" w:cs="Arial"/>
          <w:color w:val="171717" w:themeColor="background2" w:themeShade="1A"/>
          <w:lang w:val="sq-AL"/>
        </w:rPr>
      </w:pPr>
      <w:r w:rsidRPr="00FE10AC">
        <w:rPr>
          <w:rFonts w:ascii="Arial" w:hAnsi="Arial" w:cs="Arial"/>
          <w:color w:val="171717" w:themeColor="background2" w:themeShade="1A"/>
          <w:lang w:val="sq-AL"/>
        </w:rPr>
        <w:t>Të vlefshme konsiderohen vetëm dokumentet e lëshuara (prodhuara) pas ditës së shpalljes së konkursit. Dokumentet më të vjetra nuk merren parasysh, përveç letërnjoftimit;</w:t>
      </w:r>
    </w:p>
    <w:p w:rsidR="00E86815" w:rsidRPr="00FE10AC" w:rsidRDefault="00E86815" w:rsidP="00E86815">
      <w:pPr>
        <w:spacing w:line="276" w:lineRule="auto"/>
        <w:jc w:val="center"/>
        <w:rPr>
          <w:rFonts w:ascii="Arial" w:hAnsi="Arial" w:cs="Arial"/>
          <w:b/>
          <w:bCs/>
          <w:color w:val="171717" w:themeColor="background2" w:themeShade="1A"/>
          <w:sz w:val="24"/>
          <w:szCs w:val="24"/>
        </w:rPr>
      </w:pPr>
      <w:r w:rsidRPr="00FE10AC">
        <w:rPr>
          <w:rFonts w:ascii="Arial" w:hAnsi="Arial" w:cs="Arial"/>
          <w:b/>
          <w:bCs/>
          <w:color w:val="171717" w:themeColor="background2" w:themeShade="1A"/>
          <w:sz w:val="24"/>
          <w:szCs w:val="24"/>
        </w:rPr>
        <w:lastRenderedPageBreak/>
        <w:t>Neni 8</w:t>
      </w:r>
    </w:p>
    <w:p w:rsidR="00E86815" w:rsidRPr="00FE10AC" w:rsidRDefault="00E86815" w:rsidP="00E86815">
      <w:pPr>
        <w:spacing w:line="276" w:lineRule="auto"/>
        <w:jc w:val="center"/>
        <w:rPr>
          <w:rFonts w:ascii="Arial" w:hAnsi="Arial" w:cs="Arial"/>
          <w:b/>
          <w:bCs/>
          <w:color w:val="171717" w:themeColor="background2" w:themeShade="1A"/>
          <w:sz w:val="24"/>
          <w:szCs w:val="24"/>
        </w:rPr>
      </w:pPr>
      <w:r w:rsidRPr="00FE10AC">
        <w:rPr>
          <w:rFonts w:ascii="Arial" w:hAnsi="Arial" w:cs="Arial"/>
          <w:b/>
          <w:bCs/>
          <w:color w:val="171717" w:themeColor="background2" w:themeShade="1A"/>
          <w:sz w:val="24"/>
          <w:szCs w:val="24"/>
        </w:rPr>
        <w:t>Shpallja e Rezultateve  Preliminare</w:t>
      </w:r>
    </w:p>
    <w:p w:rsidR="00E86815" w:rsidRPr="00FE10AC" w:rsidRDefault="00E86815" w:rsidP="00E86815">
      <w:pPr>
        <w:numPr>
          <w:ilvl w:val="0"/>
          <w:numId w:val="8"/>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Pas përfundimit të punës së komisionit për ndarjen e bursave, publikohen rezultatet preliminare për përfituesit e bursave në afat prej tri (3) ditëve;</w:t>
      </w:r>
    </w:p>
    <w:p w:rsidR="00E86815" w:rsidRPr="00FE10AC" w:rsidRDefault="00E86815" w:rsidP="00E86815">
      <w:pPr>
        <w:numPr>
          <w:ilvl w:val="0"/>
          <w:numId w:val="8"/>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Publikimi bëhet në ueb faqen e Komunës së Gjilanit, si dhe në tabelat e shpalljeve të Komunës;</w:t>
      </w:r>
    </w:p>
    <w:p w:rsidR="00E86815" w:rsidRPr="00FE10AC" w:rsidRDefault="00E86815" w:rsidP="00E86815">
      <w:pPr>
        <w:numPr>
          <w:ilvl w:val="0"/>
          <w:numId w:val="8"/>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Publikimi bëhet në formë të vendimit dhe nënshkruhet nga Kryetari i Komisionit;</w:t>
      </w:r>
    </w:p>
    <w:p w:rsidR="00E86815" w:rsidRPr="00FE10AC" w:rsidRDefault="00E86815" w:rsidP="00E86815">
      <w:pPr>
        <w:numPr>
          <w:ilvl w:val="0"/>
          <w:numId w:val="8"/>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Komisioni ka për obligim që për punën e tij  të përpilojë raport përfundimtar.</w:t>
      </w:r>
    </w:p>
    <w:p w:rsidR="005B7B43" w:rsidRDefault="005B7B43" w:rsidP="00E86815">
      <w:pPr>
        <w:spacing w:line="276" w:lineRule="auto"/>
        <w:jc w:val="center"/>
        <w:rPr>
          <w:rFonts w:ascii="Arial" w:hAnsi="Arial" w:cs="Arial"/>
          <w:b/>
          <w:bCs/>
          <w:color w:val="171717" w:themeColor="background2" w:themeShade="1A"/>
          <w:sz w:val="24"/>
          <w:szCs w:val="24"/>
        </w:rPr>
      </w:pPr>
    </w:p>
    <w:p w:rsidR="00E86815" w:rsidRPr="00FE10AC" w:rsidRDefault="00E86815" w:rsidP="00E86815">
      <w:pPr>
        <w:spacing w:line="276" w:lineRule="auto"/>
        <w:jc w:val="center"/>
        <w:rPr>
          <w:rFonts w:ascii="Arial" w:hAnsi="Arial" w:cs="Arial"/>
          <w:b/>
          <w:bCs/>
          <w:color w:val="171717" w:themeColor="background2" w:themeShade="1A"/>
          <w:sz w:val="24"/>
          <w:szCs w:val="24"/>
        </w:rPr>
      </w:pPr>
      <w:r w:rsidRPr="00FE10AC">
        <w:rPr>
          <w:rFonts w:ascii="Arial" w:hAnsi="Arial" w:cs="Arial"/>
          <w:b/>
          <w:bCs/>
          <w:color w:val="171717" w:themeColor="background2" w:themeShade="1A"/>
          <w:sz w:val="24"/>
          <w:szCs w:val="24"/>
        </w:rPr>
        <w:t>Neni 9</w:t>
      </w:r>
    </w:p>
    <w:p w:rsidR="00E86815" w:rsidRPr="00FE10AC" w:rsidRDefault="00E86815" w:rsidP="00E86815">
      <w:pPr>
        <w:spacing w:line="276" w:lineRule="auto"/>
        <w:jc w:val="center"/>
        <w:rPr>
          <w:rFonts w:ascii="Arial" w:hAnsi="Arial" w:cs="Arial"/>
          <w:b/>
          <w:bCs/>
          <w:color w:val="171717" w:themeColor="background2" w:themeShade="1A"/>
          <w:sz w:val="24"/>
          <w:szCs w:val="24"/>
        </w:rPr>
      </w:pPr>
      <w:r w:rsidRPr="00FE10AC">
        <w:rPr>
          <w:rFonts w:ascii="Arial" w:hAnsi="Arial" w:cs="Arial"/>
          <w:b/>
          <w:bCs/>
          <w:color w:val="171717" w:themeColor="background2" w:themeShade="1A"/>
          <w:sz w:val="24"/>
          <w:szCs w:val="24"/>
        </w:rPr>
        <w:t xml:space="preserve">Ankesat dhe Komisioni i Ankesave </w:t>
      </w:r>
    </w:p>
    <w:p w:rsidR="00E86815" w:rsidRPr="00FE10AC" w:rsidRDefault="00E86815" w:rsidP="00E86815">
      <w:pPr>
        <w:numPr>
          <w:ilvl w:val="0"/>
          <w:numId w:val="9"/>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Kundër vendimit të publikuar me rezultate preliminare, studenti/ja,  i/e pakënaqur, ka të drejtë të parashtrojë ankesë komisionit të ankesave në afat prej 8 ditëve, nga dita e shpalljes së vendimit;</w:t>
      </w:r>
    </w:p>
    <w:p w:rsidR="00E86815" w:rsidRPr="00FE10AC" w:rsidRDefault="00E86815" w:rsidP="00E86815">
      <w:pPr>
        <w:numPr>
          <w:ilvl w:val="0"/>
          <w:numId w:val="9"/>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Ankesa dorëzohet në Qendrën për Shërbime me Qytetarë në kuadër të Drejtorisë për Administratë e Përgjithshme;</w:t>
      </w:r>
    </w:p>
    <w:p w:rsidR="00E86815" w:rsidRPr="00FE10AC" w:rsidRDefault="00E86815" w:rsidP="00E86815">
      <w:pPr>
        <w:numPr>
          <w:ilvl w:val="0"/>
          <w:numId w:val="9"/>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 xml:space="preserve">Drejtoria Komunale e Arsimit, formon komisionin ad-hoc për shqyrtimin e ankesave të studentëve të pakënaqur </w:t>
      </w:r>
      <w:r w:rsidRPr="00FE10AC">
        <w:rPr>
          <w:rFonts w:ascii="Arial" w:hAnsi="Arial" w:cs="Arial"/>
          <w:b/>
          <w:i/>
          <w:color w:val="171717" w:themeColor="background2" w:themeShade="1A"/>
          <w:sz w:val="24"/>
          <w:szCs w:val="24"/>
        </w:rPr>
        <w:t>dhe vendos në lidhje me ankesën</w:t>
      </w:r>
      <w:r w:rsidRPr="00FE10AC">
        <w:rPr>
          <w:rFonts w:ascii="Arial" w:hAnsi="Arial" w:cs="Arial"/>
          <w:color w:val="171717" w:themeColor="background2" w:themeShade="1A"/>
          <w:sz w:val="24"/>
          <w:szCs w:val="24"/>
        </w:rPr>
        <w:t>;</w:t>
      </w:r>
    </w:p>
    <w:p w:rsidR="00E86815" w:rsidRPr="00FE10AC" w:rsidRDefault="00E86815" w:rsidP="00E86815">
      <w:pPr>
        <w:numPr>
          <w:ilvl w:val="0"/>
          <w:numId w:val="9"/>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Komisioni i ankesave nuk do t’i marrë  parasysh dëshmitë e reja të cilat studenti/ja nuk i ka paraqitur me kohë gjatë aplikimit, qofshin ato teknike, për shkak të harresës  apo të ndonjë natyre të ngjashme;</w:t>
      </w:r>
    </w:p>
    <w:p w:rsidR="00E86815" w:rsidRPr="00FE10AC" w:rsidRDefault="00E86815" w:rsidP="00E86815">
      <w:pPr>
        <w:numPr>
          <w:ilvl w:val="0"/>
          <w:numId w:val="9"/>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Ankesat shqyrtohen dhe komisioni merr vendim brenda periudhës prej 15 ditëve, nga dita e mbarimit të afatit për paraqitjen e ankesës;</w:t>
      </w:r>
    </w:p>
    <w:p w:rsidR="00E86815" w:rsidRPr="00FE10AC" w:rsidRDefault="00E86815" w:rsidP="00E86815">
      <w:pPr>
        <w:numPr>
          <w:ilvl w:val="0"/>
          <w:numId w:val="9"/>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 xml:space="preserve">Drejtoria Komunale e Arsimit është e obliguar që menjëherë pas përfundimit të punës së komisionit të ankesave, jo më vonë se 3 ditë, t’i njoftojë paraqitësit e ankesave me përgjigje në ankesë si dhe ta bëjë shpalljen përfundimtare të rezultateve; </w:t>
      </w:r>
    </w:p>
    <w:p w:rsidR="00E86815" w:rsidRPr="00FE10AC" w:rsidRDefault="00E86815" w:rsidP="00E86815">
      <w:pPr>
        <w:numPr>
          <w:ilvl w:val="0"/>
          <w:numId w:val="9"/>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Në rastet kur komisioni i ankesave e aprovon ndonjë ankesë të studentit/es të pakënaqur, duke ua njohur të drejtën e përfitimit të bursës komunale, atëherë lista preliminare e shpallur me emra të përfituesëve mund të ndryshojë apo të zgjerohet, varësisht nga natyra dhe përmbajtja e ankesës;</w:t>
      </w:r>
    </w:p>
    <w:p w:rsidR="00E86815" w:rsidRPr="00FE10AC" w:rsidRDefault="00E86815" w:rsidP="00E86815">
      <w:pPr>
        <w:numPr>
          <w:ilvl w:val="0"/>
          <w:numId w:val="9"/>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Vendimi i komisionit të ankesave është përfundimtar sipas procedurës administrative;</w:t>
      </w:r>
    </w:p>
    <w:p w:rsidR="00E86815" w:rsidRPr="00FE10AC" w:rsidRDefault="00E86815" w:rsidP="00E86815">
      <w:pPr>
        <w:numPr>
          <w:ilvl w:val="0"/>
          <w:numId w:val="9"/>
        </w:numPr>
        <w:spacing w:after="0" w:line="276" w:lineRule="auto"/>
        <w:ind w:left="270" w:hanging="270"/>
        <w:jc w:val="both"/>
        <w:rPr>
          <w:rFonts w:ascii="Arial" w:hAnsi="Arial" w:cs="Arial"/>
          <w:color w:val="171717" w:themeColor="background2" w:themeShade="1A"/>
          <w:sz w:val="24"/>
          <w:szCs w:val="24"/>
        </w:rPr>
      </w:pPr>
      <w:r w:rsidRPr="00FE10AC">
        <w:rPr>
          <w:rFonts w:ascii="Arial" w:hAnsi="Arial" w:cs="Arial"/>
          <w:color w:val="171717" w:themeColor="background2" w:themeShade="1A"/>
          <w:sz w:val="24"/>
          <w:szCs w:val="24"/>
        </w:rPr>
        <w:t>Komisioni ka për obligim që për punën e tij  të përpilojë raport përfundimtar.</w:t>
      </w:r>
    </w:p>
    <w:p w:rsidR="00E86815" w:rsidRPr="00FE10AC" w:rsidRDefault="00E86815" w:rsidP="00E86815">
      <w:pPr>
        <w:spacing w:line="276" w:lineRule="auto"/>
        <w:ind w:left="270"/>
        <w:jc w:val="both"/>
        <w:rPr>
          <w:rFonts w:ascii="Arial" w:hAnsi="Arial" w:cs="Arial"/>
          <w:sz w:val="24"/>
          <w:szCs w:val="24"/>
        </w:rPr>
      </w:pPr>
    </w:p>
    <w:p w:rsidR="00E86815" w:rsidRPr="00FE10AC" w:rsidRDefault="00E86815" w:rsidP="00E86815">
      <w:pPr>
        <w:spacing w:line="276" w:lineRule="auto"/>
        <w:jc w:val="center"/>
        <w:rPr>
          <w:rFonts w:ascii="Arial" w:hAnsi="Arial" w:cs="Arial"/>
          <w:b/>
          <w:sz w:val="24"/>
          <w:szCs w:val="24"/>
        </w:rPr>
      </w:pPr>
      <w:r w:rsidRPr="00FE10AC">
        <w:rPr>
          <w:rFonts w:ascii="Arial" w:hAnsi="Arial" w:cs="Arial"/>
          <w:b/>
          <w:sz w:val="24"/>
          <w:szCs w:val="24"/>
        </w:rPr>
        <w:t>Neni 10</w:t>
      </w:r>
    </w:p>
    <w:p w:rsidR="00E86815" w:rsidRPr="00FE10AC" w:rsidRDefault="00E86815" w:rsidP="00E86815">
      <w:pPr>
        <w:spacing w:line="276" w:lineRule="auto"/>
        <w:jc w:val="center"/>
        <w:rPr>
          <w:rFonts w:ascii="Arial" w:hAnsi="Arial" w:cs="Arial"/>
          <w:b/>
          <w:sz w:val="24"/>
          <w:szCs w:val="24"/>
        </w:rPr>
      </w:pPr>
      <w:r w:rsidRPr="00FE10AC">
        <w:rPr>
          <w:rFonts w:ascii="Arial" w:hAnsi="Arial" w:cs="Arial"/>
          <w:b/>
          <w:sz w:val="24"/>
          <w:szCs w:val="24"/>
        </w:rPr>
        <w:t>Ekzekutimi i Pagesave të Përfituesëve të Bursave</w:t>
      </w:r>
    </w:p>
    <w:p w:rsidR="00E86815" w:rsidRPr="00FE10AC" w:rsidRDefault="00E86815" w:rsidP="00E86815">
      <w:pPr>
        <w:numPr>
          <w:ilvl w:val="0"/>
          <w:numId w:val="10"/>
        </w:numPr>
        <w:spacing w:after="0" w:line="276" w:lineRule="auto"/>
        <w:ind w:left="270" w:hanging="270"/>
        <w:jc w:val="both"/>
        <w:rPr>
          <w:rFonts w:ascii="Arial" w:hAnsi="Arial" w:cs="Arial"/>
          <w:sz w:val="24"/>
          <w:szCs w:val="24"/>
        </w:rPr>
      </w:pPr>
      <w:r w:rsidRPr="00FE10AC">
        <w:rPr>
          <w:rFonts w:ascii="Arial" w:hAnsi="Arial" w:cs="Arial"/>
          <w:sz w:val="24"/>
          <w:szCs w:val="24"/>
        </w:rPr>
        <w:t>Nuk do të ekzekutohet asnjë pagesë e përfituesve të bursave nga Komuna, derisa të shqyrtohen dhe vendosen ankesat e të pakënaqurve nga komisioni i ankesave.</w:t>
      </w:r>
    </w:p>
    <w:p w:rsidR="00E86815" w:rsidRPr="00FE10AC" w:rsidRDefault="00E86815" w:rsidP="00E86815">
      <w:pPr>
        <w:numPr>
          <w:ilvl w:val="0"/>
          <w:numId w:val="10"/>
        </w:numPr>
        <w:spacing w:after="0" w:line="276" w:lineRule="auto"/>
        <w:ind w:left="270" w:hanging="270"/>
        <w:jc w:val="both"/>
        <w:rPr>
          <w:rFonts w:ascii="Arial" w:hAnsi="Arial" w:cs="Arial"/>
          <w:sz w:val="24"/>
          <w:szCs w:val="24"/>
        </w:rPr>
      </w:pPr>
      <w:r w:rsidRPr="00FE10AC">
        <w:rPr>
          <w:rFonts w:ascii="Arial" w:hAnsi="Arial" w:cs="Arial"/>
          <w:sz w:val="24"/>
          <w:szCs w:val="24"/>
        </w:rPr>
        <w:lastRenderedPageBreak/>
        <w:t xml:space="preserve">Ekzekutimin e pagesave e bën Drejtoria Komunale e Arsimit, në bashkëpunim me Drejtorinë për Buxhet dhe Financa. </w:t>
      </w:r>
    </w:p>
    <w:p w:rsidR="00E86815" w:rsidRPr="004C71C8" w:rsidRDefault="00E86815" w:rsidP="00442514">
      <w:pPr>
        <w:numPr>
          <w:ilvl w:val="0"/>
          <w:numId w:val="10"/>
        </w:numPr>
        <w:spacing w:after="0" w:line="276" w:lineRule="auto"/>
        <w:ind w:left="270" w:hanging="270"/>
        <w:jc w:val="both"/>
        <w:rPr>
          <w:rFonts w:ascii="Arial" w:hAnsi="Arial" w:cs="Arial"/>
          <w:sz w:val="24"/>
          <w:szCs w:val="24"/>
        </w:rPr>
      </w:pPr>
      <w:r w:rsidRPr="004C71C8">
        <w:rPr>
          <w:rFonts w:ascii="Arial" w:hAnsi="Arial" w:cs="Arial"/>
          <w:sz w:val="24"/>
          <w:szCs w:val="24"/>
        </w:rPr>
        <w:t>Pagesat e përfituesëve të bursave bëhen në xhirollogaritë bankare të përfituesit – studentit/es.</w:t>
      </w:r>
    </w:p>
    <w:p w:rsidR="00E86815" w:rsidRPr="00FE10AC" w:rsidRDefault="00E86815" w:rsidP="00E86815">
      <w:pPr>
        <w:spacing w:line="276" w:lineRule="auto"/>
        <w:jc w:val="center"/>
        <w:rPr>
          <w:rFonts w:ascii="Arial" w:hAnsi="Arial" w:cs="Arial"/>
          <w:b/>
          <w:sz w:val="24"/>
          <w:szCs w:val="24"/>
        </w:rPr>
      </w:pPr>
      <w:r w:rsidRPr="00FE10AC">
        <w:rPr>
          <w:rFonts w:ascii="Arial" w:hAnsi="Arial" w:cs="Arial"/>
          <w:b/>
          <w:sz w:val="24"/>
          <w:szCs w:val="24"/>
        </w:rPr>
        <w:t>Neni 11</w:t>
      </w:r>
    </w:p>
    <w:p w:rsidR="00E86815" w:rsidRPr="00FE10AC" w:rsidRDefault="00E86815" w:rsidP="00E86815">
      <w:pPr>
        <w:spacing w:line="276" w:lineRule="auto"/>
        <w:jc w:val="center"/>
        <w:rPr>
          <w:rFonts w:ascii="Arial" w:hAnsi="Arial" w:cs="Arial"/>
          <w:b/>
          <w:sz w:val="24"/>
          <w:szCs w:val="24"/>
        </w:rPr>
      </w:pPr>
      <w:r w:rsidRPr="00FE10AC">
        <w:rPr>
          <w:rFonts w:ascii="Arial" w:hAnsi="Arial" w:cs="Arial"/>
          <w:b/>
          <w:sz w:val="24"/>
          <w:szCs w:val="24"/>
        </w:rPr>
        <w:t>Ndryshimi dhe Plotësimi i Rregullores</w:t>
      </w:r>
    </w:p>
    <w:p w:rsidR="00E86815" w:rsidRPr="00FE10AC" w:rsidRDefault="00E86815" w:rsidP="00E86815">
      <w:pPr>
        <w:tabs>
          <w:tab w:val="left" w:pos="270"/>
        </w:tabs>
        <w:spacing w:line="276" w:lineRule="auto"/>
        <w:ind w:left="270"/>
        <w:jc w:val="both"/>
        <w:rPr>
          <w:rFonts w:ascii="Arial" w:hAnsi="Arial" w:cs="Arial"/>
          <w:sz w:val="24"/>
          <w:szCs w:val="24"/>
        </w:rPr>
      </w:pPr>
      <w:r w:rsidRPr="00FE10AC">
        <w:rPr>
          <w:rFonts w:ascii="Arial" w:hAnsi="Arial" w:cs="Arial"/>
          <w:sz w:val="24"/>
          <w:szCs w:val="24"/>
        </w:rPr>
        <w:t xml:space="preserve">Kjo rregullore  mund të ndryshohet dhe plotësohet  në çdo kohë nga Kuvendi i Komunës në përputhje me nevojat ligjore dhe organizative.  </w:t>
      </w:r>
    </w:p>
    <w:p w:rsidR="00E86815" w:rsidRPr="00FE10AC" w:rsidRDefault="00E86815" w:rsidP="00E86815">
      <w:pPr>
        <w:spacing w:line="276" w:lineRule="auto"/>
        <w:jc w:val="center"/>
        <w:rPr>
          <w:rFonts w:ascii="Arial" w:hAnsi="Arial" w:cs="Arial"/>
          <w:b/>
          <w:sz w:val="24"/>
          <w:szCs w:val="24"/>
        </w:rPr>
      </w:pPr>
      <w:r w:rsidRPr="00FE10AC">
        <w:rPr>
          <w:rFonts w:ascii="Arial" w:hAnsi="Arial" w:cs="Arial"/>
          <w:b/>
          <w:sz w:val="24"/>
          <w:szCs w:val="24"/>
        </w:rPr>
        <w:t>Neni 12</w:t>
      </w:r>
    </w:p>
    <w:p w:rsidR="00E86815" w:rsidRPr="00FE10AC" w:rsidRDefault="00E86815" w:rsidP="00E86815">
      <w:pPr>
        <w:spacing w:line="276" w:lineRule="auto"/>
        <w:jc w:val="center"/>
        <w:rPr>
          <w:rFonts w:ascii="Arial" w:hAnsi="Arial" w:cs="Arial"/>
          <w:b/>
          <w:sz w:val="24"/>
          <w:szCs w:val="24"/>
        </w:rPr>
      </w:pPr>
      <w:r w:rsidRPr="00FE10AC">
        <w:rPr>
          <w:rFonts w:ascii="Arial" w:hAnsi="Arial" w:cs="Arial"/>
          <w:b/>
          <w:sz w:val="24"/>
          <w:szCs w:val="24"/>
        </w:rPr>
        <w:t>Përgjegjësia dhe Zbatimi i kësaj Rregullore</w:t>
      </w:r>
    </w:p>
    <w:p w:rsidR="00E86815" w:rsidRPr="00FE10AC" w:rsidRDefault="00E86815" w:rsidP="00E86815">
      <w:pPr>
        <w:numPr>
          <w:ilvl w:val="0"/>
          <w:numId w:val="1"/>
        </w:numPr>
        <w:spacing w:after="0" w:line="276" w:lineRule="auto"/>
        <w:ind w:left="270" w:hanging="270"/>
        <w:jc w:val="both"/>
        <w:rPr>
          <w:rFonts w:ascii="Arial" w:hAnsi="Arial" w:cs="Arial"/>
          <w:sz w:val="24"/>
          <w:szCs w:val="24"/>
        </w:rPr>
      </w:pPr>
      <w:r w:rsidRPr="00FE10AC">
        <w:rPr>
          <w:rFonts w:ascii="Arial" w:hAnsi="Arial" w:cs="Arial"/>
          <w:sz w:val="24"/>
          <w:szCs w:val="24"/>
        </w:rPr>
        <w:t xml:space="preserve">Përgjegjës për zbatimin e kësaj rregulloreje janë: Drejtoria Komunale Arsimit, Komisioni për ndarjen e bursave, komisioni i ankesave si dhe Drejtoria për Buxhet dhe Financa.  </w:t>
      </w:r>
    </w:p>
    <w:p w:rsidR="00E86815" w:rsidRPr="00FE10AC" w:rsidRDefault="00E86815" w:rsidP="00E86815">
      <w:pPr>
        <w:numPr>
          <w:ilvl w:val="0"/>
          <w:numId w:val="1"/>
        </w:numPr>
        <w:spacing w:after="0" w:line="276" w:lineRule="auto"/>
        <w:ind w:left="270" w:hanging="270"/>
        <w:jc w:val="both"/>
        <w:rPr>
          <w:rFonts w:ascii="Arial" w:hAnsi="Arial" w:cs="Arial"/>
          <w:sz w:val="24"/>
          <w:szCs w:val="24"/>
        </w:rPr>
      </w:pPr>
      <w:r w:rsidRPr="00FE10AC">
        <w:rPr>
          <w:rFonts w:ascii="Arial" w:hAnsi="Arial" w:cs="Arial"/>
          <w:sz w:val="24"/>
          <w:szCs w:val="24"/>
        </w:rPr>
        <w:t xml:space="preserve">Për moszbatimin e drejtë të kësaj rregulloreje, pasojnë masat në përputhje me legjislacionin në fuqi. </w:t>
      </w:r>
    </w:p>
    <w:p w:rsidR="00E86815" w:rsidRPr="00FE10AC" w:rsidRDefault="00E86815" w:rsidP="00E86815">
      <w:pPr>
        <w:spacing w:line="276" w:lineRule="auto"/>
        <w:rPr>
          <w:rFonts w:ascii="Arial" w:hAnsi="Arial" w:cs="Arial"/>
          <w:b/>
          <w:sz w:val="24"/>
          <w:szCs w:val="24"/>
        </w:rPr>
      </w:pPr>
    </w:p>
    <w:p w:rsidR="00E86815" w:rsidRPr="00FE10AC" w:rsidRDefault="00E86815" w:rsidP="00E86815">
      <w:pPr>
        <w:spacing w:line="276" w:lineRule="auto"/>
        <w:ind w:left="270"/>
        <w:jc w:val="both"/>
        <w:rPr>
          <w:rFonts w:ascii="Arial" w:hAnsi="Arial" w:cs="Arial"/>
          <w:sz w:val="24"/>
          <w:szCs w:val="24"/>
        </w:rPr>
      </w:pPr>
      <w:r w:rsidRPr="00FE10AC">
        <w:rPr>
          <w:rFonts w:ascii="Arial" w:hAnsi="Arial" w:cs="Arial"/>
          <w:sz w:val="24"/>
          <w:szCs w:val="24"/>
        </w:rPr>
        <w:t>Kjo Rregullore hyn në fuqi 15 ditë pas regjistrimit në zyrën e protokollit në Ministrinë e Administrimit të Pushtetit Lokal dhe publikimit në gjuhën zyrtare në veb faqen e Komunës.</w:t>
      </w:r>
    </w:p>
    <w:p w:rsidR="00E86815" w:rsidRPr="00FE10AC" w:rsidRDefault="00E86815" w:rsidP="005B7B43">
      <w:pPr>
        <w:spacing w:line="276" w:lineRule="auto"/>
        <w:ind w:left="6480"/>
        <w:jc w:val="both"/>
        <w:rPr>
          <w:rFonts w:ascii="Arial" w:hAnsi="Arial" w:cs="Arial"/>
          <w:bCs/>
          <w:sz w:val="24"/>
          <w:szCs w:val="24"/>
        </w:rPr>
      </w:pPr>
      <w:r w:rsidRPr="00FE10AC">
        <w:rPr>
          <w:rFonts w:ascii="Arial" w:hAnsi="Arial" w:cs="Arial"/>
          <w:bCs/>
          <w:sz w:val="24"/>
          <w:szCs w:val="24"/>
        </w:rPr>
        <w:t xml:space="preserve">                                                                                                                                                          Kryesuesi i Kuvendit</w:t>
      </w:r>
    </w:p>
    <w:p w:rsidR="005D3644" w:rsidRDefault="00E86815" w:rsidP="00E86815">
      <w:pPr>
        <w:spacing w:line="276" w:lineRule="auto"/>
        <w:ind w:left="270"/>
        <w:jc w:val="both"/>
        <w:rPr>
          <w:rFonts w:ascii="Arial" w:hAnsi="Arial" w:cs="Arial"/>
          <w:bCs/>
          <w:sz w:val="24"/>
          <w:szCs w:val="24"/>
        </w:rPr>
      </w:pPr>
      <w:r w:rsidRPr="00FE10AC">
        <w:rPr>
          <w:rFonts w:ascii="Arial" w:hAnsi="Arial" w:cs="Arial"/>
          <w:bCs/>
          <w:sz w:val="24"/>
          <w:szCs w:val="24"/>
        </w:rPr>
        <w:t>01</w:t>
      </w:r>
      <w:r w:rsidR="005D3644">
        <w:rPr>
          <w:rFonts w:ascii="Arial" w:hAnsi="Arial" w:cs="Arial"/>
          <w:bCs/>
          <w:sz w:val="24"/>
          <w:szCs w:val="24"/>
        </w:rPr>
        <w:t xml:space="preserve"> Nr.</w:t>
      </w:r>
      <w:r w:rsidR="005D3644">
        <w:rPr>
          <w:rFonts w:ascii="Arial" w:hAnsi="Arial" w:cs="Arial"/>
          <w:bCs/>
          <w:sz w:val="24"/>
          <w:szCs w:val="24"/>
          <w:u w:val="single"/>
        </w:rPr>
        <w:t>016-116807/24</w:t>
      </w:r>
      <w:r w:rsidR="005B7B43">
        <w:rPr>
          <w:rFonts w:ascii="Arial" w:hAnsi="Arial" w:cs="Arial"/>
          <w:bCs/>
          <w:sz w:val="24"/>
          <w:szCs w:val="24"/>
        </w:rPr>
        <w:t xml:space="preserve">,        </w:t>
      </w:r>
      <w:r w:rsidR="005B7B43">
        <w:rPr>
          <w:rFonts w:ascii="Arial" w:hAnsi="Arial" w:cs="Arial"/>
          <w:bCs/>
          <w:sz w:val="24"/>
          <w:szCs w:val="24"/>
        </w:rPr>
        <w:tab/>
      </w:r>
      <w:r w:rsidR="005B7B43">
        <w:rPr>
          <w:rFonts w:ascii="Arial" w:hAnsi="Arial" w:cs="Arial"/>
          <w:bCs/>
          <w:sz w:val="24"/>
          <w:szCs w:val="24"/>
        </w:rPr>
        <w:tab/>
      </w:r>
      <w:r w:rsidR="005B7B43">
        <w:rPr>
          <w:rFonts w:ascii="Arial" w:hAnsi="Arial" w:cs="Arial"/>
          <w:bCs/>
          <w:sz w:val="24"/>
          <w:szCs w:val="24"/>
        </w:rPr>
        <w:tab/>
        <w:t xml:space="preserve">  </w:t>
      </w:r>
      <w:r w:rsidR="005D3644">
        <w:rPr>
          <w:rFonts w:ascii="Arial" w:hAnsi="Arial" w:cs="Arial"/>
          <w:bCs/>
          <w:sz w:val="24"/>
          <w:szCs w:val="24"/>
        </w:rPr>
        <w:t xml:space="preserve">                   ________________</w:t>
      </w:r>
    </w:p>
    <w:p w:rsidR="00E86815" w:rsidRPr="00FE10AC" w:rsidRDefault="005D3644" w:rsidP="00E86815">
      <w:pPr>
        <w:spacing w:line="276" w:lineRule="auto"/>
        <w:ind w:left="270"/>
        <w:jc w:val="both"/>
        <w:rPr>
          <w:rFonts w:ascii="Arial" w:hAnsi="Arial" w:cs="Arial"/>
          <w:bCs/>
          <w:sz w:val="24"/>
          <w:szCs w:val="24"/>
        </w:rPr>
      </w:pPr>
      <w:r>
        <w:rPr>
          <w:rFonts w:ascii="Arial" w:hAnsi="Arial" w:cs="Arial"/>
          <w:bCs/>
          <w:sz w:val="24"/>
          <w:szCs w:val="24"/>
        </w:rPr>
        <w:t>Gjilan, më 21.10.2024</w:t>
      </w:r>
      <w:r>
        <w:rPr>
          <w:rFonts w:ascii="Arial" w:hAnsi="Arial" w:cs="Arial"/>
          <w:bCs/>
          <w:sz w:val="24"/>
          <w:szCs w:val="24"/>
        </w:rPr>
        <w:tab/>
      </w:r>
      <w:r w:rsidR="005B7B43">
        <w:rPr>
          <w:rFonts w:ascii="Arial" w:hAnsi="Arial" w:cs="Arial"/>
          <w:bCs/>
          <w:sz w:val="24"/>
          <w:szCs w:val="24"/>
        </w:rPr>
        <w:t xml:space="preserve">  </w:t>
      </w:r>
      <w:r>
        <w:rPr>
          <w:rFonts w:ascii="Arial" w:hAnsi="Arial" w:cs="Arial"/>
          <w:bCs/>
          <w:sz w:val="24"/>
          <w:szCs w:val="24"/>
        </w:rPr>
        <w:t xml:space="preserve">                                                     </w:t>
      </w:r>
      <w:r w:rsidR="005B7B43">
        <w:rPr>
          <w:rFonts w:ascii="Arial" w:hAnsi="Arial" w:cs="Arial"/>
          <w:bCs/>
          <w:sz w:val="24"/>
          <w:szCs w:val="24"/>
        </w:rPr>
        <w:t>/</w:t>
      </w:r>
      <w:r w:rsidR="00E86815" w:rsidRPr="00FE10AC">
        <w:rPr>
          <w:rFonts w:ascii="Arial" w:hAnsi="Arial" w:cs="Arial"/>
          <w:bCs/>
          <w:sz w:val="24"/>
          <w:szCs w:val="24"/>
        </w:rPr>
        <w:t xml:space="preserve"> </w:t>
      </w:r>
      <w:r w:rsidR="005B7B43" w:rsidRPr="00FE10AC">
        <w:rPr>
          <w:rFonts w:ascii="Arial" w:hAnsi="Arial" w:cs="Arial"/>
          <w:bCs/>
          <w:sz w:val="24"/>
          <w:szCs w:val="24"/>
        </w:rPr>
        <w:t>Kushtrim Kadriu</w:t>
      </w:r>
      <w:r w:rsidR="005B7B43">
        <w:rPr>
          <w:rFonts w:ascii="Arial" w:hAnsi="Arial" w:cs="Arial"/>
          <w:bCs/>
          <w:sz w:val="24"/>
          <w:szCs w:val="24"/>
        </w:rPr>
        <w:t>/</w:t>
      </w:r>
      <w:r w:rsidR="005B7B43" w:rsidRPr="00FE10AC">
        <w:rPr>
          <w:rFonts w:ascii="Arial" w:hAnsi="Arial" w:cs="Arial"/>
          <w:bCs/>
          <w:sz w:val="24"/>
          <w:szCs w:val="24"/>
        </w:rPr>
        <w:t xml:space="preserve">  </w:t>
      </w:r>
    </w:p>
    <w:p w:rsidR="00E86815" w:rsidRPr="00FE10AC" w:rsidRDefault="00E86815" w:rsidP="00E86815">
      <w:pPr>
        <w:spacing w:line="276" w:lineRule="auto"/>
        <w:jc w:val="both"/>
        <w:rPr>
          <w:rFonts w:ascii="Arial" w:hAnsi="Arial" w:cs="Arial"/>
          <w:bCs/>
          <w:sz w:val="24"/>
          <w:szCs w:val="24"/>
        </w:rPr>
      </w:pPr>
      <w:r w:rsidRPr="00FE10AC">
        <w:rPr>
          <w:rFonts w:ascii="Arial" w:hAnsi="Arial" w:cs="Arial"/>
          <w:bCs/>
          <w:sz w:val="24"/>
          <w:szCs w:val="24"/>
        </w:rPr>
        <w:t xml:space="preserve">                                                                                                                                                        </w:t>
      </w:r>
    </w:p>
    <w:p w:rsidR="009F36D0" w:rsidRPr="00FE10AC" w:rsidRDefault="009F36D0">
      <w:pPr>
        <w:rPr>
          <w:rFonts w:ascii="Arial" w:hAnsi="Arial" w:cs="Arial"/>
          <w:sz w:val="24"/>
          <w:szCs w:val="24"/>
          <w:lang w:val="en-US"/>
        </w:rPr>
      </w:pPr>
    </w:p>
    <w:sectPr w:rsidR="009F36D0" w:rsidRPr="00FE10AC">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E67" w:rsidRDefault="000E3E67">
      <w:pPr>
        <w:spacing w:after="0" w:line="240" w:lineRule="auto"/>
      </w:pPr>
      <w:r>
        <w:separator/>
      </w:r>
    </w:p>
  </w:endnote>
  <w:endnote w:type="continuationSeparator" w:id="0">
    <w:p w:rsidR="000E3E67" w:rsidRDefault="000E3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8E" w:rsidRDefault="00A301B1">
    <w:pPr>
      <w:pStyle w:val="Footer"/>
      <w:jc w:val="center"/>
    </w:pPr>
    <w:r>
      <w:rPr>
        <w:noProof w:val="0"/>
      </w:rPr>
      <w:fldChar w:fldCharType="begin"/>
    </w:r>
    <w:r>
      <w:instrText xml:space="preserve"> PAGE   \* MERGEFORMAT </w:instrText>
    </w:r>
    <w:r>
      <w:rPr>
        <w:noProof w:val="0"/>
      </w:rPr>
      <w:fldChar w:fldCharType="separate"/>
    </w:r>
    <w:r w:rsidR="00FC75D9">
      <w:t>6</w:t>
    </w:r>
    <w:r>
      <w:fldChar w:fldCharType="end"/>
    </w:r>
  </w:p>
  <w:p w:rsidR="00D9398E" w:rsidRDefault="000E3E67" w:rsidP="00361FF7">
    <w:pPr>
      <w:pStyle w:val="Footer"/>
      <w:tabs>
        <w:tab w:val="clear" w:pos="4680"/>
        <w:tab w:val="clear" w:pos="9360"/>
        <w:tab w:val="left" w:pos="777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E67" w:rsidRDefault="000E3E67">
      <w:pPr>
        <w:spacing w:after="0" w:line="240" w:lineRule="auto"/>
      </w:pPr>
      <w:r>
        <w:separator/>
      </w:r>
    </w:p>
  </w:footnote>
  <w:footnote w:type="continuationSeparator" w:id="0">
    <w:p w:rsidR="000E3E67" w:rsidRDefault="000E3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8E" w:rsidRDefault="00A301B1" w:rsidP="00A74B87">
    <w:pPr>
      <w:pStyle w:val="Header"/>
      <w:tabs>
        <w:tab w:val="clear" w:pos="4680"/>
        <w:tab w:val="clear" w:pos="9360"/>
        <w:tab w:val="left" w:pos="42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391F"/>
    <w:multiLevelType w:val="hybridMultilevel"/>
    <w:tmpl w:val="17800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478FB"/>
    <w:multiLevelType w:val="multilevel"/>
    <w:tmpl w:val="611CD6C8"/>
    <w:lvl w:ilvl="0">
      <w:start w:val="1"/>
      <w:numFmt w:val="decimal"/>
      <w:lvlText w:val="%1."/>
      <w:lvlJc w:val="left"/>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50B45F1"/>
    <w:multiLevelType w:val="hybridMultilevel"/>
    <w:tmpl w:val="1616C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5658F"/>
    <w:multiLevelType w:val="hybridMultilevel"/>
    <w:tmpl w:val="3DF4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80E86"/>
    <w:multiLevelType w:val="hybridMultilevel"/>
    <w:tmpl w:val="5958F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5C4AB5"/>
    <w:multiLevelType w:val="hybridMultilevel"/>
    <w:tmpl w:val="90E8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9438F3"/>
    <w:multiLevelType w:val="hybridMultilevel"/>
    <w:tmpl w:val="E21A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A11EEA"/>
    <w:multiLevelType w:val="hybridMultilevel"/>
    <w:tmpl w:val="3BB040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251EC4"/>
    <w:multiLevelType w:val="hybridMultilevel"/>
    <w:tmpl w:val="3524E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D1D76"/>
    <w:multiLevelType w:val="hybridMultilevel"/>
    <w:tmpl w:val="6B307328"/>
    <w:lvl w:ilvl="0" w:tplc="68DC570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5"/>
  </w:num>
  <w:num w:numId="2">
    <w:abstractNumId w:val="0"/>
  </w:num>
  <w:num w:numId="3">
    <w:abstractNumId w:val="6"/>
  </w:num>
  <w:num w:numId="4">
    <w:abstractNumId w:val="7"/>
  </w:num>
  <w:num w:numId="5">
    <w:abstractNumId w:val="1"/>
  </w:num>
  <w:num w:numId="6">
    <w:abstractNumId w:val="9"/>
  </w:num>
  <w:num w:numId="7">
    <w:abstractNumId w:val="8"/>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15"/>
    <w:rsid w:val="000E3E67"/>
    <w:rsid w:val="00180BC9"/>
    <w:rsid w:val="002B6401"/>
    <w:rsid w:val="004C71C8"/>
    <w:rsid w:val="00517BCA"/>
    <w:rsid w:val="005B7B43"/>
    <w:rsid w:val="005D3644"/>
    <w:rsid w:val="00691C12"/>
    <w:rsid w:val="007D0BB2"/>
    <w:rsid w:val="008900B8"/>
    <w:rsid w:val="009A0F75"/>
    <w:rsid w:val="009F36D0"/>
    <w:rsid w:val="00A205A1"/>
    <w:rsid w:val="00A301B1"/>
    <w:rsid w:val="00A911B5"/>
    <w:rsid w:val="00E86815"/>
    <w:rsid w:val="00FC75D9"/>
    <w:rsid w:val="00FE10AC"/>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2607"/>
  <w15:chartTrackingRefBased/>
  <w15:docId w15:val="{D7B7A03C-0739-45FE-9915-6491DB9A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815"/>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Numbered list,Forth level,PAD,Dot pt,F5 List Paragraph,lp,List Paragraph nowy,Liste 1,Bullet paras,Citation List,List Paragraph Char Char Char,Indicator Text,Numbered Para 1,Bullet 1,Bullet Points,MAIN CONTENT,L,FooterText"/>
    <w:basedOn w:val="Normal"/>
    <w:link w:val="ListParagraphChar"/>
    <w:uiPriority w:val="34"/>
    <w:qFormat/>
    <w:rsid w:val="00E86815"/>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86815"/>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E86815"/>
    <w:rPr>
      <w:rFonts w:ascii="Times New Roman" w:eastAsia="Times New Roman" w:hAnsi="Times New Roman" w:cs="Times New Roman"/>
      <w:noProof/>
      <w:sz w:val="24"/>
      <w:szCs w:val="24"/>
      <w:lang w:val="x-none" w:eastAsia="x-none"/>
    </w:rPr>
  </w:style>
  <w:style w:type="paragraph" w:styleId="Footer">
    <w:name w:val="footer"/>
    <w:basedOn w:val="Normal"/>
    <w:link w:val="FooterChar"/>
    <w:uiPriority w:val="99"/>
    <w:unhideWhenUsed/>
    <w:rsid w:val="00E86815"/>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E86815"/>
    <w:rPr>
      <w:rFonts w:ascii="Times New Roman" w:eastAsia="Times New Roman" w:hAnsi="Times New Roman" w:cs="Times New Roman"/>
      <w:noProof/>
      <w:sz w:val="24"/>
      <w:szCs w:val="24"/>
      <w:lang w:val="x-none" w:eastAsia="x-none"/>
    </w:rPr>
  </w:style>
  <w:style w:type="character" w:customStyle="1" w:styleId="ListParagraphChar">
    <w:name w:val="List Paragraph Char"/>
    <w:aliases w:val="Bullet List Char,Numbered list Char,Forth level Char,PAD Char,Dot pt Char,F5 List Paragraph Char,lp Char,List Paragraph nowy Char,Liste 1 Char,Bullet paras Char,Citation List Char,List Paragraph Char Char Char Char,Bullet 1 Char"/>
    <w:link w:val="ListParagraph"/>
    <w:uiPriority w:val="34"/>
    <w:qFormat/>
    <w:locked/>
    <w:rsid w:val="00E86815"/>
    <w:rPr>
      <w:rFonts w:ascii="Times New Roman" w:eastAsia="Times New Roman"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Sadri Arifi</cp:lastModifiedBy>
  <cp:revision>9</cp:revision>
  <dcterms:created xsi:type="dcterms:W3CDTF">2024-10-24T09:22:00Z</dcterms:created>
  <dcterms:modified xsi:type="dcterms:W3CDTF">2024-10-28T09:37:00Z</dcterms:modified>
</cp:coreProperties>
</file>