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70" w:type="dxa"/>
        <w:tblInd w:w="-9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ckThinSmallGap" w:sz="24" w:space="0" w:color="ED7D31" w:themeColor="accent2"/>
          <w:right w:val="thickThinSmallGap" w:sz="24" w:space="0" w:color="ED7D31" w:themeColor="accent2"/>
          <w:insideH w:val="single" w:sz="6" w:space="0" w:color="ED7D31" w:themeColor="accent2"/>
          <w:insideV w:val="single" w:sz="6" w:space="0" w:color="ED7D31" w:themeColor="accent2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5310"/>
        <w:gridCol w:w="2970"/>
        <w:gridCol w:w="1530"/>
        <w:gridCol w:w="450"/>
        <w:gridCol w:w="1890"/>
      </w:tblGrid>
      <w:tr w:rsidR="008A1A60" w:rsidRPr="00B90E32" w:rsidTr="008A1A60">
        <w:trPr>
          <w:trHeight w:val="549"/>
        </w:trPr>
        <w:tc>
          <w:tcPr>
            <w:tcW w:w="14670" w:type="dxa"/>
            <w:gridSpan w:val="6"/>
            <w:tcBorders>
              <w:top w:val="thinThickSmallGap" w:sz="24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thickThinSmallGap" w:sz="24" w:space="0" w:color="ED7D31" w:themeColor="accent2"/>
            </w:tcBorders>
            <w:shd w:val="clear" w:color="auto" w:fill="auto"/>
            <w:noWrap/>
            <w:hideMark/>
          </w:tcPr>
          <w:p w:rsidR="008A1A60" w:rsidRPr="00B971DE" w:rsidRDefault="008A1A60" w:rsidP="00CE4096">
            <w:pPr>
              <w:jc w:val="center"/>
              <w:rPr>
                <w:rFonts w:ascii="Book Antiqua" w:eastAsia="Times New Roman" w:hAnsi="Book Antiqua"/>
                <w:color w:val="595959" w:themeColor="text1" w:themeTint="A6"/>
                <w:sz w:val="22"/>
                <w:szCs w:val="22"/>
                <w:lang w:val="sq-AL"/>
              </w:rPr>
            </w:pPr>
            <w:r w:rsidRPr="00B971DE">
              <w:rPr>
                <w:rFonts w:ascii="Book Antiqua" w:eastAsia="Times New Roman" w:hAnsi="Book Antiqua"/>
                <w:color w:val="595959" w:themeColor="text1" w:themeTint="A6"/>
                <w:sz w:val="22"/>
                <w:szCs w:val="22"/>
                <w:lang w:val="sq-AL"/>
              </w:rPr>
              <w:t xml:space="preserve">Plani </w:t>
            </w:r>
            <w:r w:rsidR="00CE4096" w:rsidRPr="00B971DE">
              <w:rPr>
                <w:rFonts w:ascii="Book Antiqua" w:eastAsia="Times New Roman" w:hAnsi="Book Antiqua"/>
                <w:color w:val="595959" w:themeColor="text1" w:themeTint="A6"/>
                <w:sz w:val="22"/>
                <w:szCs w:val="22"/>
                <w:lang w:val="sq-AL"/>
              </w:rPr>
              <w:t xml:space="preserve"> i punës i Njësisë për të Drejtat e Njeriut</w:t>
            </w:r>
          </w:p>
        </w:tc>
      </w:tr>
      <w:tr w:rsidR="008A1A60" w:rsidRPr="00B90E32" w:rsidTr="00236B8E">
        <w:trPr>
          <w:trHeight w:val="606"/>
        </w:trPr>
        <w:tc>
          <w:tcPr>
            <w:tcW w:w="7830" w:type="dxa"/>
            <w:gridSpan w:val="2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  <w:noWrap/>
          </w:tcPr>
          <w:p w:rsidR="008A1A60" w:rsidRPr="00B971DE" w:rsidRDefault="00CE4096" w:rsidP="00241B3A">
            <w:pPr>
              <w:ind w:left="1962" w:hanging="1962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Njësia për të Drejtat e Njeriut</w:t>
            </w:r>
          </w:p>
        </w:tc>
        <w:tc>
          <w:tcPr>
            <w:tcW w:w="450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8A1A60" w:rsidRPr="00B971DE" w:rsidRDefault="008A1A60" w:rsidP="00241B3A">
            <w:pPr>
              <w:ind w:right="-288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Komuna: Gjilan                    </w:t>
            </w:r>
          </w:p>
        </w:tc>
        <w:tc>
          <w:tcPr>
            <w:tcW w:w="234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thickThinSmallGap" w:sz="24" w:space="0" w:color="ED7D31" w:themeColor="accent2"/>
            </w:tcBorders>
            <w:shd w:val="clear" w:color="auto" w:fill="auto"/>
          </w:tcPr>
          <w:p w:rsidR="008A1A60" w:rsidRPr="00B971DE" w:rsidRDefault="008A1A60" w:rsidP="00577976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Viti: 202</w:t>
            </w:r>
            <w:r w:rsidR="00577976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8A1A60" w:rsidRPr="00B90E32" w:rsidTr="008A1A60">
        <w:trPr>
          <w:trHeight w:val="1056"/>
        </w:trPr>
        <w:tc>
          <w:tcPr>
            <w:tcW w:w="14670" w:type="dxa"/>
            <w:gridSpan w:val="6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thickThinSmallGap" w:sz="24" w:space="0" w:color="ED7D31" w:themeColor="accent2"/>
            </w:tcBorders>
            <w:shd w:val="clear" w:color="auto" w:fill="auto"/>
            <w:noWrap/>
            <w:hideMark/>
          </w:tcPr>
          <w:p w:rsidR="008A1A60" w:rsidRPr="00B971DE" w:rsidRDefault="008A1A60" w:rsidP="00813979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QËLLIMI 1: </w:t>
            </w:r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brojtja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dhe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promovimin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të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drejtave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të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njeriut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në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nivel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komunal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;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Monitor</w:t>
            </w:r>
            <w:r w:rsidR="00813979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imi</w:t>
            </w:r>
            <w:proofErr w:type="spellEnd"/>
            <w:r w:rsidR="00813979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përputhshmërinë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respektimit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të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standardeve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për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të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drejtat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njeriut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në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fushën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mundësitë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barabarta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kundër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diskriminimit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barazia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gjinore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të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drejtat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fëmijëve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personat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aftësi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të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kufizuar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të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drejtat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komuniteteve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përdorimin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gjuhëve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dhe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kundër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trafikimit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qenie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njerëzore</w:t>
            </w:r>
            <w:proofErr w:type="spellEnd"/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  <w:r w:rsidR="00CE4096" w:rsidRPr="00B971DE">
              <w:rPr>
                <w:rFonts w:ascii="Book Antiqua" w:eastAsia="Times New Roman" w:hAnsi="Book Antiqua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236B8E" w:rsidRPr="00B90E32" w:rsidTr="00236B8E">
        <w:trPr>
          <w:trHeight w:val="153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E7E6E6" w:themeFill="background2"/>
            <w:hideMark/>
          </w:tcPr>
          <w:p w:rsidR="00236B8E" w:rsidRPr="005F5BFF" w:rsidRDefault="00236B8E" w:rsidP="000D1EE2">
            <w:pPr>
              <w:jc w:val="center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5BFF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Objektivi</w:t>
            </w:r>
          </w:p>
          <w:p w:rsidR="00236B8E" w:rsidRPr="005F5BFF" w:rsidRDefault="00236B8E" w:rsidP="000D1EE2">
            <w:pPr>
              <w:jc w:val="center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36B8E" w:rsidRPr="005F5BFF" w:rsidRDefault="00236B8E" w:rsidP="000D1EE2">
            <w:pPr>
              <w:jc w:val="center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E7E6E6" w:themeFill="background2"/>
            <w:hideMark/>
          </w:tcPr>
          <w:p w:rsidR="00236B8E" w:rsidRPr="005F5BFF" w:rsidRDefault="00236B8E" w:rsidP="000D1EE2">
            <w:pPr>
              <w:jc w:val="center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5BFF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Aktiviteti</w:t>
            </w:r>
          </w:p>
          <w:p w:rsidR="00236B8E" w:rsidRPr="005F5BFF" w:rsidRDefault="00236B8E" w:rsidP="000D1EE2">
            <w:pPr>
              <w:jc w:val="center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E7E6E6" w:themeFill="background2"/>
            <w:hideMark/>
          </w:tcPr>
          <w:p w:rsidR="00236B8E" w:rsidRPr="005F5BFF" w:rsidRDefault="00236B8E" w:rsidP="000D1EE2">
            <w:pPr>
              <w:jc w:val="center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5BFF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Bartësi i aktivitetit</w:t>
            </w:r>
          </w:p>
          <w:p w:rsidR="00236B8E" w:rsidRPr="005F5BFF" w:rsidRDefault="00236B8E" w:rsidP="000D1EE2">
            <w:pPr>
              <w:jc w:val="center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E7E6E6" w:themeFill="background2"/>
          </w:tcPr>
          <w:p w:rsidR="00236B8E" w:rsidRPr="005F5BFF" w:rsidRDefault="00236B8E" w:rsidP="000D1EE2">
            <w:pPr>
              <w:jc w:val="center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5BFF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Periudha e zbatimit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E7E6E6" w:themeFill="background2"/>
            <w:hideMark/>
          </w:tcPr>
          <w:p w:rsidR="00236B8E" w:rsidRPr="005F5BFF" w:rsidRDefault="00236B8E" w:rsidP="000D1EE2">
            <w:pPr>
              <w:jc w:val="center"/>
              <w:rPr>
                <w:rFonts w:eastAsia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  <w:r w:rsidRPr="005F5BFF">
              <w:rPr>
                <w:rFonts w:eastAsia="Times New Roman"/>
                <w:b/>
                <w:color w:val="404040" w:themeColor="text1" w:themeTint="BF"/>
                <w:sz w:val="20"/>
                <w:szCs w:val="20"/>
                <w:lang w:val="sq-AL"/>
              </w:rPr>
              <w:t>Buxheti i duhur</w:t>
            </w:r>
          </w:p>
          <w:p w:rsidR="00236B8E" w:rsidRPr="00B971DE" w:rsidRDefault="00236B8E" w:rsidP="000D1EE2">
            <w:pPr>
              <w:jc w:val="center"/>
              <w:rPr>
                <w:rFonts w:eastAsia="Times New Roman"/>
                <w:color w:val="ED7D31" w:themeColor="accent2"/>
                <w:sz w:val="20"/>
                <w:szCs w:val="20"/>
                <w:lang w:val="sq-AL"/>
              </w:rPr>
            </w:pPr>
          </w:p>
        </w:tc>
      </w:tr>
      <w:tr w:rsidR="00236B8E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36B8E" w:rsidRPr="00B971DE" w:rsidRDefault="00236B8E" w:rsidP="00236B8E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Zbatimi i legjislacionit në fuqi dhe akteve nënligjore në fushën e të drejtave të njeriut, barazi gjinore, mbrojtjen e fëmijës, mbrojtjen nga diskriminimi etj. 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36B8E" w:rsidRPr="00B971DE" w:rsidRDefault="00236B8E" w:rsidP="00EF76F9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Zbatimi  dhe kujdesi i vazhdueshëm i ligjeve dhe akteve nënligjore si dhe dokumenteve </w:t>
            </w:r>
            <w:r w:rsidR="00C95F0C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të tjera 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strategjike për të drejtat e njeriut. Promovimi dhe mbrojtja e të drejtave të njeriut, zbatimi i rekomandimeve</w:t>
            </w:r>
            <w:r w:rsidR="00EF76F9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hartimi i planeve të veprimit etj. 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36B8E" w:rsidRPr="00B971DE" w:rsidRDefault="00976525" w:rsidP="00236B8E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NJD</w:t>
            </w:r>
            <w:r w:rsidR="00236B8E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NJ, </w:t>
            </w:r>
            <w:r w:rsidR="00EF76F9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</w:t>
            </w:r>
            <w:r w:rsidR="00EF76F9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="00EF76F9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tucionet</w:t>
            </w:r>
            <w:r w:rsidR="00236B8E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Komunale.</w:t>
            </w: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36B8E" w:rsidRPr="00B971DE" w:rsidRDefault="00236B8E" w:rsidP="00EF76F9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EF76F9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vazhdueshme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36B8E" w:rsidRPr="00B971DE" w:rsidRDefault="00236B8E" w:rsidP="00241B3A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803189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803189" w:rsidRPr="00B971DE" w:rsidRDefault="00803189" w:rsidP="00803189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Mbështetja dhe promovimi i praktikave 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të mira për të parandaluar dhe luftuar diskriminimin si dhe promovimin e barazisë.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803189" w:rsidRPr="00B971DE" w:rsidRDefault="00803189" w:rsidP="00213D30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Zbatimi i </w:t>
            </w:r>
            <w:r w:rsidR="000D1EE2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ligjeve, 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rekomandimeve, </w:t>
            </w:r>
            <w:r w:rsidR="000D1EE2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dokumenteve, strategjive, 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0D1EE2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akime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 </w:t>
            </w:r>
            <w:proofErr w:type="spellStart"/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akter</w:t>
            </w:r>
            <w:proofErr w:type="spellEnd"/>
            <w:r w:rsidR="000D1EE2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të ndryshëm</w:t>
            </w:r>
            <w:r w:rsidR="00213D30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0D1EE2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13D30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identifikimi, </w:t>
            </w:r>
            <w:r w:rsidR="000D1EE2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trajnime të vazhdueshme, bashkëpunimi me institucione të tjera të nivelit qendror dhe lokal nga fusha e të drejtave të njeriut</w:t>
            </w:r>
            <w:r w:rsidR="00213D30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mbështetja e palëve  të cilët pretendojnë se janë të diskriminuar etj. 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803189" w:rsidRPr="00B971DE" w:rsidRDefault="00803189" w:rsidP="00803189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</w:t>
            </w:r>
            <w:r w:rsidR="00976525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JD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NJ, </w:t>
            </w:r>
            <w:r w:rsidR="00EF76F9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Institucionet</w:t>
            </w:r>
            <w:r w:rsidR="00976525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Komunale.</w:t>
            </w: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803189" w:rsidRPr="00B971DE" w:rsidRDefault="00EF76F9" w:rsidP="00803189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vazhdueshme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803189" w:rsidRPr="00B971DE" w:rsidRDefault="00803189" w:rsidP="00803189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0B646B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0B646B" w:rsidRPr="00B971DE" w:rsidRDefault="000B646B" w:rsidP="000B646B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Ngritja e vetëdijes së qytetarëve  në proceset që kanë të bëjnë me të drejtat e njeriut</w:t>
            </w:r>
            <w:r w:rsidR="00F6185C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0B646B" w:rsidRPr="00B971DE" w:rsidRDefault="000B646B" w:rsidP="00F6185C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Përku</w:t>
            </w:r>
            <w:r w:rsidR="00F6185C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shtimi i vazhdueshëm i stafit  të Njësisë për të Drejtat e Njeriut në Komunë.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0B646B" w:rsidRPr="00B971DE" w:rsidRDefault="000B646B" w:rsidP="000B646B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F6185C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JD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NJ, </w:t>
            </w:r>
            <w:proofErr w:type="spellStart"/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Instuticionet</w:t>
            </w:r>
            <w:proofErr w:type="spellEnd"/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Komunale.</w:t>
            </w: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0B646B" w:rsidRPr="00B971DE" w:rsidRDefault="00F6185C" w:rsidP="000B646B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vazhdueshme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0B646B" w:rsidRPr="00B971DE" w:rsidRDefault="000B646B" w:rsidP="000B646B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653AB9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653AB9" w:rsidRPr="00B971DE" w:rsidRDefault="00E01EA7" w:rsidP="007333F2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Bashkëpunimi </w:t>
            </w:r>
            <w:r w:rsidR="007333F2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 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</w:t>
            </w:r>
            <w:r w:rsidR="00653AB9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nstitucione</w:t>
            </w:r>
            <w:r w:rsidR="007333F2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653AB9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relevante për mbrojtjen nga diskriminimi dhe fuqizimi i NJDNJ</w:t>
            </w:r>
            <w:r w:rsidR="007333F2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653AB9" w:rsidRPr="00B971DE" w:rsidRDefault="00653AB9" w:rsidP="007333F2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Takime </w:t>
            </w:r>
            <w:r w:rsidR="007333F2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dhe bashkëpunimi i vazhdueshëm me I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nstitucionet përgjegjëse </w:t>
            </w:r>
            <w:r w:rsidR="007333F2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në fushën e të drejtave të njeriut. 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653AB9" w:rsidRPr="00B971DE" w:rsidRDefault="00653AB9" w:rsidP="00653AB9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D53D79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JD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NJ, </w:t>
            </w:r>
            <w:proofErr w:type="spellStart"/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Instuticionet</w:t>
            </w:r>
            <w:proofErr w:type="spellEnd"/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Komunale.</w:t>
            </w: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653AB9" w:rsidRPr="00B971DE" w:rsidRDefault="00D53D79" w:rsidP="00D53D79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 vazhdueshme 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653AB9" w:rsidRPr="00B971DE" w:rsidRDefault="00653AB9" w:rsidP="00653AB9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2B5EE4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Dita ndërkombëtare e fëmijëve 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Shënimi i ditës ndërkombëtare të fëmijëve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Institucionet komunale</w:t>
            </w: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Default="002B5EE4" w:rsidP="002B5EE4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Qershori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2B5EE4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B5EE4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Ditës</w:t>
            </w:r>
            <w:proofErr w:type="spellEnd"/>
            <w:r w:rsidRPr="002B5EE4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B5EE4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Botërore</w:t>
            </w:r>
            <w:proofErr w:type="spellEnd"/>
            <w:r w:rsidRPr="002B5EE4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B5EE4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të</w:t>
            </w:r>
            <w:proofErr w:type="spellEnd"/>
            <w:r w:rsidRPr="002B5EE4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2B5EE4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Sindromës</w:t>
            </w:r>
            <w:proofErr w:type="spellEnd"/>
            <w:r w:rsidRPr="002B5EE4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Dawn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Default="00DF35DB" w:rsidP="002B5EE4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 Mars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2B5EE4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Përmirësimi i situatës së të drejtave  të fëmijëve  dhe grupeve të cenuara në Komunën e Gjilanit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Ndërmarrja e veprimeve të vazhdueshme si dhe identifikimi i rasteve për të përmirësuar dhe mbrojtur të drejtat e fëmijëve në nivelin lokal. 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NJD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NJ,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ekipi për të drejtat e fëmijëve, 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31B43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</w:t>
            </w:r>
            <w:r w:rsidR="00531B43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</w:t>
            </w:r>
            <w:r w:rsidR="00531B43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ucionet</w:t>
            </w:r>
            <w:bookmarkStart w:id="0" w:name="_GoBack"/>
            <w:bookmarkEnd w:id="0"/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Komunale.</w:t>
            </w: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vazhdueshme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2B5EE4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Hulumtimi i dhunës në 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IEAA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përmes anketimeve dhe intervistave të drejtpërdrejta me nxënës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Mbajtja e ligjëratave  në 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Institucionet Edukativo Arsimore dhe Aftësuese 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 nxënësit, shpërndarja e fletushkave dhe </w:t>
            </w:r>
            <w:proofErr w:type="spellStart"/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postereve</w:t>
            </w:r>
            <w:proofErr w:type="spellEnd"/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anketa dhe intervista. 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JD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NJ, DKA, QPS, DSHMS OJQ</w:t>
            </w:r>
          </w:p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Policia e Kosovës</w:t>
            </w: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Shtator – Tetor 2025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2B5EE4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E76F10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Takime të rregullta  me mekaniz</w:t>
            </w:r>
            <w:r w:rsidR="002B5EE4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min komunal </w:t>
            </w:r>
            <w:r w:rsidR="002B5EE4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kundër </w:t>
            </w:r>
            <w:r w:rsidR="002B5EE4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dhunës në familje</w:t>
            </w:r>
            <w:r w:rsidR="002B5EE4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AC7D33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Planifikimi,  </w:t>
            </w:r>
            <w:r w:rsidR="00AC7D33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parandalimi, 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zbatimi</w:t>
            </w:r>
            <w:r w:rsidR="00AC7D33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 planit të veprimit, m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bledhja e shënimeve dhe statistikave të dhunës n</w:t>
            </w:r>
            <w:r w:rsidR="00AC7D33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ë familje, 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raportimi</w:t>
            </w:r>
            <w:r w:rsidR="00AC7D33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etj. 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E76F10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JD</w:t>
            </w: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NJ, DKA, QPS, DSHMS OJQ</w:t>
            </w:r>
          </w:p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Policia e Kosovës, </w:t>
            </w:r>
            <w:proofErr w:type="spellStart"/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Hendikos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E76F10" w:rsidP="00E76F10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vazhdueshme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2B5EE4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Takime të rregullta  të ekipit komunal për të drejtat e fëmijëve</w:t>
            </w:r>
            <w:r w:rsidR="00E76F10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E76F10" w:rsidP="00E76F10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Zbatimi i planit të veprimit, ndërmarrja e veprimeve, i</w:t>
            </w:r>
            <w:r w:rsidR="002B5EE4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dentifikimi dhe reflektimi i rasteve të fëmijëve në rrezik dhe fëmijëve në nevojë. Aktivitete </w:t>
            </w:r>
            <w:proofErr w:type="spellStart"/>
            <w:r w:rsidR="002B5EE4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vetëdijesuese</w:t>
            </w:r>
            <w:proofErr w:type="spellEnd"/>
            <w:r w:rsidR="002B5EE4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në shkollat dhe komunitet.  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NJDNJ, Ekipi komunal për të drejtat e njeriut</w:t>
            </w:r>
            <w:r w:rsidR="00E76F10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Institucionet komunale. </w:t>
            </w: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E76F10" w:rsidP="00E76F10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vazhdueshme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2B5EE4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Ofrimi i mundësive të barabarta  për punësim dhe krijimi i kushteve të përshtatshme për punë për të gjithë në kontekst të zbatimit  të </w:t>
            </w:r>
            <w:proofErr w:type="spellStart"/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të</w:t>
            </w:r>
            <w:proofErr w:type="spellEnd"/>
            <w:r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drejtave të njeriut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E76F10" w:rsidP="00E76F10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Zbatimi i planit të veprimit, takime me institucione përgjegjëse, f</w:t>
            </w:r>
            <w:r w:rsidR="002B5EE4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ushata  për muajin e mundësive të barabarta  profesionale për pe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rsonat me aftësi të kufizuara, </w:t>
            </w:r>
            <w:r w:rsidR="002B5EE4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punësim, organizimi 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dhe mbajtja e</w:t>
            </w:r>
            <w:r w:rsidR="002B5EE4" w:rsidRPr="00B971DE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ligjëratave etj. 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E76F10" w:rsidP="000A47FB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6F10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NJDNJ</w:t>
            </w:r>
            <w:r w:rsidR="000A47FB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E76F10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Institucionet komunale.</w:t>
            </w: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0A47FB" w:rsidP="002B5EE4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vazhdueshme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71DE" w:rsidRDefault="002B5EE4" w:rsidP="002B5EE4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2B5EE4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F732A6" w:rsidRDefault="00D8083D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Takime të vazhdueshme me Institucionet lokale 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F732A6" w:rsidRDefault="00D8083D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Takime me IEAA, Policinë e Kosovës, </w:t>
            </w:r>
            <w:proofErr w:type="spellStart"/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Hendikos</w:t>
            </w:r>
            <w:proofErr w:type="spellEnd"/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OJQ-të, Drejtoritë e Administratës Komunale për çështjet e të drejtave të njeriut, fëmijëve, barazi gjinore, personat me aftësi të kufizuara dhe mbrojtjen nga diskriminimi.  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F732A6" w:rsidRDefault="00D8083D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NJDNJ</w:t>
            </w: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F732A6" w:rsidRDefault="00D8083D" w:rsidP="002B5EE4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vazhdueshme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2B5EE4" w:rsidRPr="00B90E32" w:rsidRDefault="002B5EE4" w:rsidP="002B5EE4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D8083D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D8083D" w:rsidRDefault="00D8083D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Nxjerrja e statistikave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D8083D" w:rsidRDefault="00D8083D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Evidentimi dhe nxjerrja e statistikave  në nivel lokal për sa i përket të drejtave të njeriut, </w:t>
            </w:r>
            <w:r w:rsidRPr="00D8083D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fëmijëve, barazi gjinore, personat me aftësi të kufizuara dhe mbrojtjen nga diskriminimi.  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D8083D" w:rsidRDefault="00D8083D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NDNJ</w:t>
            </w: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D8083D" w:rsidRDefault="00D8083D" w:rsidP="002B5EE4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vazhdueshme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D8083D" w:rsidRDefault="00D8083D" w:rsidP="002B5EE4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  <w:p w:rsidR="00BE20C6" w:rsidRPr="00B90E32" w:rsidRDefault="00BE20C6" w:rsidP="002B5EE4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BE20C6" w:rsidRPr="00B90E32" w:rsidTr="00236B8E">
        <w:trPr>
          <w:trHeight w:val="293"/>
        </w:trPr>
        <w:tc>
          <w:tcPr>
            <w:tcW w:w="2520" w:type="dxa"/>
            <w:tcBorders>
              <w:top w:val="single" w:sz="6" w:space="0" w:color="ED7D31" w:themeColor="accent2"/>
              <w:left w:val="thinThickSmallGap" w:sz="24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BE20C6" w:rsidRDefault="00BE20C6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Raportimi i punës  gjashtë mujor  dhe vjetor</w:t>
            </w:r>
          </w:p>
        </w:tc>
        <w:tc>
          <w:tcPr>
            <w:tcW w:w="531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BE20C6" w:rsidRDefault="00BE20C6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20C6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Raportimi i punës  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për periudhën gjashtë</w:t>
            </w:r>
            <w:r w:rsidRPr="00BE20C6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mujor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BE20C6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dhe 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raportimi </w:t>
            </w:r>
            <w:r w:rsidRPr="00BE20C6"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vjetor</w:t>
            </w: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97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BE20C6" w:rsidRDefault="00BE20C6" w:rsidP="002B5EE4">
            <w:pPr>
              <w:jc w:val="both"/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NDNJ</w:t>
            </w:r>
          </w:p>
        </w:tc>
        <w:tc>
          <w:tcPr>
            <w:tcW w:w="1980" w:type="dxa"/>
            <w:gridSpan w:val="2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BE20C6" w:rsidRDefault="00BE20C6" w:rsidP="002B5EE4">
            <w:pP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eastAsia="Times New Roman" w:hAnsi="Book Antiqua"/>
                <w:color w:val="000000" w:themeColor="text1"/>
                <w:sz w:val="22"/>
                <w:szCs w:val="22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Qershor dhe Dhjetor</w:t>
            </w:r>
          </w:p>
        </w:tc>
        <w:tc>
          <w:tcPr>
            <w:tcW w:w="1890" w:type="dxa"/>
            <w:tcBorders>
              <w:top w:val="single" w:sz="6" w:space="0" w:color="ED7D31" w:themeColor="accent2"/>
              <w:left w:val="single" w:sz="6" w:space="0" w:color="ED7D31" w:themeColor="accent2"/>
              <w:bottom w:val="single" w:sz="6" w:space="0" w:color="ED7D31" w:themeColor="accent2"/>
              <w:right w:val="single" w:sz="6" w:space="0" w:color="ED7D31" w:themeColor="accent2"/>
            </w:tcBorders>
            <w:shd w:val="clear" w:color="auto" w:fill="auto"/>
          </w:tcPr>
          <w:p w:rsidR="00BE20C6" w:rsidRDefault="00BE20C6" w:rsidP="002B5EE4">
            <w:pPr>
              <w:rPr>
                <w:rFonts w:eastAsia="Times New Roman"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</w:tbl>
    <w:p w:rsidR="00762945" w:rsidRPr="00B90E32" w:rsidRDefault="00762945" w:rsidP="008A1A60">
      <w:pPr>
        <w:rPr>
          <w:sz w:val="20"/>
          <w:szCs w:val="20"/>
        </w:rPr>
      </w:pPr>
    </w:p>
    <w:sectPr w:rsidR="00762945" w:rsidRPr="00B90E32" w:rsidSect="00AC6E9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29" w:rsidRDefault="00BF0829" w:rsidP="000F326E">
      <w:r>
        <w:separator/>
      </w:r>
    </w:p>
  </w:endnote>
  <w:endnote w:type="continuationSeparator" w:id="0">
    <w:p w:rsidR="00BF0829" w:rsidRDefault="00BF0829" w:rsidP="000F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29" w:rsidRDefault="00BF0829" w:rsidP="000F326E">
      <w:r>
        <w:separator/>
      </w:r>
    </w:p>
  </w:footnote>
  <w:footnote w:type="continuationSeparator" w:id="0">
    <w:p w:rsidR="00BF0829" w:rsidRDefault="00BF0829" w:rsidP="000F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FFC" w:rsidRDefault="00084212" w:rsidP="005258F6">
    <w:pPr>
      <w:pStyle w:val="Header"/>
    </w:pPr>
    <w:r>
      <w:t xml:space="preserve">                                                                                               </w:t>
    </w:r>
    <w:r w:rsidRPr="00084212">
      <w:rPr>
        <w:noProof/>
      </w:rPr>
      <w:drawing>
        <wp:inline distT="0" distB="0" distL="0" distR="0">
          <wp:extent cx="771525" cy="876300"/>
          <wp:effectExtent l="0" t="0" r="9525" b="0"/>
          <wp:docPr id="1" name="Picture 1" descr="C:\Users\bardhyl.syla\AppData\Local\Microsoft\Windows\INetCache\Content.MSO\CB97202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dhyl.syla\AppData\Local\Microsoft\Windows\INetCache\Content.MSO\CB97202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FFC" w:rsidRPr="000F326E" w:rsidRDefault="005B6FFC" w:rsidP="005258F6">
    <w:pPr>
      <w:pStyle w:val="Header"/>
      <w:tabs>
        <w:tab w:val="clear" w:pos="4680"/>
        <w:tab w:val="clear" w:pos="9360"/>
        <w:tab w:val="left" w:pos="4290"/>
      </w:tabs>
    </w:pPr>
    <w:r>
      <w:tab/>
    </w:r>
  </w:p>
  <w:p w:rsidR="005B6FFC" w:rsidRPr="000F326E" w:rsidRDefault="005B6FFC" w:rsidP="005258F6">
    <w:pPr>
      <w:spacing w:line="259" w:lineRule="auto"/>
      <w:jc w:val="center"/>
      <w:rPr>
        <w:rFonts w:ascii="Book Antiqua" w:eastAsia="Batang" w:hAnsi="Book Antiqua" w:cstheme="minorBidi"/>
        <w:b/>
        <w:bCs/>
        <w:sz w:val="18"/>
        <w:szCs w:val="18"/>
        <w:lang w:val="sv-SE"/>
      </w:rPr>
    </w:pPr>
    <w:proofErr w:type="spellStart"/>
    <w:r w:rsidRPr="000F326E">
      <w:rPr>
        <w:rFonts w:ascii="Book Antiqua" w:eastAsia="Calibri" w:hAnsi="Book Antiqua" w:cs="Book Antiqua"/>
        <w:b/>
        <w:bCs/>
        <w:sz w:val="18"/>
        <w:szCs w:val="18"/>
      </w:rPr>
      <w:t>Republika</w:t>
    </w:r>
    <w:proofErr w:type="spellEnd"/>
    <w:r w:rsidRPr="000F326E">
      <w:rPr>
        <w:rFonts w:ascii="Book Antiqua" w:eastAsia="Calibri" w:hAnsi="Book Antiqua" w:cs="Book Antiqua"/>
        <w:b/>
        <w:bCs/>
        <w:sz w:val="18"/>
        <w:szCs w:val="18"/>
      </w:rPr>
      <w:t xml:space="preserve"> e </w:t>
    </w:r>
    <w:proofErr w:type="spellStart"/>
    <w:r w:rsidRPr="000F326E">
      <w:rPr>
        <w:rFonts w:ascii="Book Antiqua" w:eastAsia="Calibri" w:hAnsi="Book Antiqua" w:cs="Book Antiqua"/>
        <w:b/>
        <w:bCs/>
        <w:sz w:val="18"/>
        <w:szCs w:val="18"/>
      </w:rPr>
      <w:t>Kosovës</w:t>
    </w:r>
    <w:proofErr w:type="spellEnd"/>
  </w:p>
  <w:p w:rsidR="005B6FFC" w:rsidRDefault="00084212" w:rsidP="00084212">
    <w:pPr>
      <w:tabs>
        <w:tab w:val="left" w:pos="1440"/>
        <w:tab w:val="center" w:pos="6480"/>
      </w:tabs>
      <w:spacing w:line="259" w:lineRule="auto"/>
      <w:rPr>
        <w:rFonts w:ascii="Book Antiqua" w:eastAsia="Calibri" w:hAnsi="Book Antiqua" w:cs="Book Antiqua"/>
        <w:b/>
        <w:bCs/>
        <w:sz w:val="18"/>
        <w:szCs w:val="18"/>
      </w:rPr>
    </w:pPr>
    <w:r>
      <w:rPr>
        <w:rFonts w:ascii="Book Antiqua" w:eastAsia="Batang" w:hAnsi="Book Antiqua" w:cs="Book Antiqua"/>
        <w:b/>
        <w:bCs/>
        <w:sz w:val="18"/>
        <w:szCs w:val="18"/>
        <w:lang w:val="sv-SE"/>
      </w:rPr>
      <w:tab/>
    </w:r>
    <w:r>
      <w:rPr>
        <w:rFonts w:ascii="Book Antiqua" w:eastAsia="Batang" w:hAnsi="Book Antiqua" w:cs="Book Antiqua"/>
        <w:b/>
        <w:bCs/>
        <w:sz w:val="18"/>
        <w:szCs w:val="18"/>
        <w:lang w:val="sv-SE"/>
      </w:rPr>
      <w:tab/>
    </w:r>
    <w:r w:rsidR="005B6FFC" w:rsidRPr="000F326E">
      <w:rPr>
        <w:rFonts w:ascii="Book Antiqua" w:eastAsia="Batang" w:hAnsi="Book Antiqua" w:cs="Book Antiqua"/>
        <w:b/>
        <w:bCs/>
        <w:sz w:val="18"/>
        <w:szCs w:val="18"/>
        <w:lang w:val="sv-SE"/>
      </w:rPr>
      <w:t>Republika Kosova-</w:t>
    </w:r>
    <w:r w:rsidR="005B6FFC" w:rsidRPr="000F326E">
      <w:rPr>
        <w:rFonts w:ascii="Book Antiqua" w:eastAsia="Calibri" w:hAnsi="Book Antiqua" w:cs="Book Antiqua"/>
        <w:b/>
        <w:bCs/>
        <w:sz w:val="18"/>
        <w:szCs w:val="18"/>
        <w:lang w:val="sv-SE"/>
      </w:rPr>
      <w:t xml:space="preserve">Republic of </w:t>
    </w:r>
    <w:r w:rsidR="005B6FFC" w:rsidRPr="000F326E">
      <w:rPr>
        <w:rFonts w:ascii="Book Antiqua" w:eastAsia="Calibri" w:hAnsi="Book Antiqua" w:cs="Book Antiqua"/>
        <w:b/>
        <w:bCs/>
        <w:sz w:val="18"/>
        <w:szCs w:val="18"/>
      </w:rPr>
      <w:t>Kosovo</w:t>
    </w:r>
  </w:p>
  <w:p w:rsidR="0058285D" w:rsidRPr="00F83CA3" w:rsidRDefault="0058285D" w:rsidP="005258F6">
    <w:pPr>
      <w:spacing w:line="259" w:lineRule="auto"/>
      <w:jc w:val="center"/>
      <w:rPr>
        <w:rFonts w:ascii="Book Antiqua" w:eastAsia="Calibri" w:hAnsi="Book Antiqua" w:cs="Book Antiqua"/>
        <w:b/>
        <w:bCs/>
        <w:lang w:val="sv-SE"/>
      </w:rPr>
    </w:pPr>
    <w:proofErr w:type="spellStart"/>
    <w:r w:rsidRPr="00F83CA3">
      <w:rPr>
        <w:rFonts w:ascii="Book Antiqua" w:eastAsia="Calibri" w:hAnsi="Book Antiqua" w:cs="Book Antiqua"/>
        <w:b/>
        <w:bCs/>
      </w:rPr>
      <w:t>Zyra</w:t>
    </w:r>
    <w:proofErr w:type="spellEnd"/>
    <w:r w:rsidRPr="00F83CA3">
      <w:rPr>
        <w:rFonts w:ascii="Book Antiqua" w:eastAsia="Calibri" w:hAnsi="Book Antiqua" w:cs="Book Antiqua"/>
        <w:b/>
        <w:bCs/>
      </w:rPr>
      <w:t xml:space="preserve"> e </w:t>
    </w:r>
    <w:proofErr w:type="spellStart"/>
    <w:r w:rsidRPr="00F83CA3">
      <w:rPr>
        <w:rFonts w:ascii="Book Antiqua" w:eastAsia="Calibri" w:hAnsi="Book Antiqua" w:cs="Book Antiqua"/>
        <w:b/>
        <w:bCs/>
      </w:rPr>
      <w:t>Kryetarit</w:t>
    </w:r>
    <w:proofErr w:type="spellEnd"/>
  </w:p>
  <w:p w:rsidR="005B6FFC" w:rsidRDefault="005B6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FC2"/>
    <w:multiLevelType w:val="multilevel"/>
    <w:tmpl w:val="545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D1367"/>
    <w:multiLevelType w:val="multilevel"/>
    <w:tmpl w:val="FFA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A7016"/>
    <w:multiLevelType w:val="multilevel"/>
    <w:tmpl w:val="B84C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3209E"/>
    <w:multiLevelType w:val="hybridMultilevel"/>
    <w:tmpl w:val="F0268C02"/>
    <w:lvl w:ilvl="0" w:tplc="EEA8264E">
      <w:start w:val="3"/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293B6D20"/>
    <w:multiLevelType w:val="multilevel"/>
    <w:tmpl w:val="7520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95846"/>
    <w:multiLevelType w:val="multilevel"/>
    <w:tmpl w:val="6A08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32C63"/>
    <w:multiLevelType w:val="hybridMultilevel"/>
    <w:tmpl w:val="14BA6982"/>
    <w:lvl w:ilvl="0" w:tplc="041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F4E75"/>
    <w:multiLevelType w:val="multilevel"/>
    <w:tmpl w:val="59E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532C7"/>
    <w:multiLevelType w:val="multilevel"/>
    <w:tmpl w:val="53F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414EA1"/>
    <w:multiLevelType w:val="multilevel"/>
    <w:tmpl w:val="74B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97"/>
    <w:rsid w:val="00046187"/>
    <w:rsid w:val="000537F3"/>
    <w:rsid w:val="00057525"/>
    <w:rsid w:val="000735D8"/>
    <w:rsid w:val="00084212"/>
    <w:rsid w:val="000A47FB"/>
    <w:rsid w:val="000B646B"/>
    <w:rsid w:val="000D1EE2"/>
    <w:rsid w:val="000F326E"/>
    <w:rsid w:val="000F6854"/>
    <w:rsid w:val="00123E1E"/>
    <w:rsid w:val="00130973"/>
    <w:rsid w:val="001A3F2D"/>
    <w:rsid w:val="001B6393"/>
    <w:rsid w:val="001E7F9C"/>
    <w:rsid w:val="001F34EC"/>
    <w:rsid w:val="00213D30"/>
    <w:rsid w:val="00236B8E"/>
    <w:rsid w:val="00241B3A"/>
    <w:rsid w:val="002B5EE4"/>
    <w:rsid w:val="003414F0"/>
    <w:rsid w:val="003444AA"/>
    <w:rsid w:val="00371253"/>
    <w:rsid w:val="00382097"/>
    <w:rsid w:val="00383BCC"/>
    <w:rsid w:val="003B5FE0"/>
    <w:rsid w:val="00404702"/>
    <w:rsid w:val="004131F9"/>
    <w:rsid w:val="00427A31"/>
    <w:rsid w:val="0049277A"/>
    <w:rsid w:val="004975A5"/>
    <w:rsid w:val="004C157E"/>
    <w:rsid w:val="004F2BCB"/>
    <w:rsid w:val="005258F6"/>
    <w:rsid w:val="00531B43"/>
    <w:rsid w:val="0056669F"/>
    <w:rsid w:val="00577976"/>
    <w:rsid w:val="0058285D"/>
    <w:rsid w:val="00592DEC"/>
    <w:rsid w:val="005B6FFC"/>
    <w:rsid w:val="005D7145"/>
    <w:rsid w:val="005F02AF"/>
    <w:rsid w:val="005F5BFF"/>
    <w:rsid w:val="00617306"/>
    <w:rsid w:val="00625F0E"/>
    <w:rsid w:val="00653AB9"/>
    <w:rsid w:val="0068693D"/>
    <w:rsid w:val="007037B9"/>
    <w:rsid w:val="007326AA"/>
    <w:rsid w:val="007333F2"/>
    <w:rsid w:val="00762945"/>
    <w:rsid w:val="007A2CCB"/>
    <w:rsid w:val="00803189"/>
    <w:rsid w:val="00806C31"/>
    <w:rsid w:val="00813979"/>
    <w:rsid w:val="00833834"/>
    <w:rsid w:val="008A1A60"/>
    <w:rsid w:val="008D1479"/>
    <w:rsid w:val="00932AFF"/>
    <w:rsid w:val="00976525"/>
    <w:rsid w:val="00992538"/>
    <w:rsid w:val="00994F9B"/>
    <w:rsid w:val="009963AE"/>
    <w:rsid w:val="009A55B2"/>
    <w:rsid w:val="009B0D6D"/>
    <w:rsid w:val="009C73B6"/>
    <w:rsid w:val="009E4D91"/>
    <w:rsid w:val="00A21B73"/>
    <w:rsid w:val="00A37790"/>
    <w:rsid w:val="00A4529F"/>
    <w:rsid w:val="00AB3083"/>
    <w:rsid w:val="00AC5B1F"/>
    <w:rsid w:val="00AC6E97"/>
    <w:rsid w:val="00AC7D33"/>
    <w:rsid w:val="00AE653C"/>
    <w:rsid w:val="00B24DF3"/>
    <w:rsid w:val="00B90E32"/>
    <w:rsid w:val="00B971DE"/>
    <w:rsid w:val="00BA5A68"/>
    <w:rsid w:val="00BA5CE9"/>
    <w:rsid w:val="00BE20C6"/>
    <w:rsid w:val="00BF0829"/>
    <w:rsid w:val="00C51F12"/>
    <w:rsid w:val="00C950E5"/>
    <w:rsid w:val="00C95F0C"/>
    <w:rsid w:val="00CD1AA2"/>
    <w:rsid w:val="00CE4096"/>
    <w:rsid w:val="00D17220"/>
    <w:rsid w:val="00D53D79"/>
    <w:rsid w:val="00D62B91"/>
    <w:rsid w:val="00D8083D"/>
    <w:rsid w:val="00DA6301"/>
    <w:rsid w:val="00DC4D43"/>
    <w:rsid w:val="00DC5CF3"/>
    <w:rsid w:val="00DD5C3F"/>
    <w:rsid w:val="00DD71A0"/>
    <w:rsid w:val="00DE0D0B"/>
    <w:rsid w:val="00DE6A77"/>
    <w:rsid w:val="00DF35DB"/>
    <w:rsid w:val="00E01EA7"/>
    <w:rsid w:val="00E02141"/>
    <w:rsid w:val="00E549C0"/>
    <w:rsid w:val="00E73412"/>
    <w:rsid w:val="00E7597A"/>
    <w:rsid w:val="00E76F10"/>
    <w:rsid w:val="00E91C6F"/>
    <w:rsid w:val="00EB2447"/>
    <w:rsid w:val="00ED4A21"/>
    <w:rsid w:val="00EF76F9"/>
    <w:rsid w:val="00F31E17"/>
    <w:rsid w:val="00F33B63"/>
    <w:rsid w:val="00F603E5"/>
    <w:rsid w:val="00F6185C"/>
    <w:rsid w:val="00F732A6"/>
    <w:rsid w:val="00F83CA3"/>
    <w:rsid w:val="00FA2B1D"/>
    <w:rsid w:val="00FD5652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71C27"/>
  <w15:chartTrackingRefBased/>
  <w15:docId w15:val="{22776841-B83C-4AA2-A33A-8FD04AB2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E9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26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3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26E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797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2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Shpresa Zariqi</dc:creator>
  <cp:keywords/>
  <dc:description/>
  <cp:lastModifiedBy>Bardhyl Syla</cp:lastModifiedBy>
  <cp:revision>47</cp:revision>
  <dcterms:created xsi:type="dcterms:W3CDTF">2025-03-04T11:56:00Z</dcterms:created>
  <dcterms:modified xsi:type="dcterms:W3CDTF">2025-05-21T06:19:00Z</dcterms:modified>
</cp:coreProperties>
</file>