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4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2D981" w14:textId="77777777" w:rsidR="00375A52" w:rsidRDefault="00375A52" w:rsidP="00375A52">
      <w:pPr>
        <w:pStyle w:val="Heading6"/>
        <w:rPr>
          <w:rFonts w:ascii="Book Antiqua" w:hAnsi="Book Antiqua"/>
          <w:sz w:val="32"/>
        </w:rPr>
      </w:pPr>
      <w:r>
        <w:rPr>
          <w:rFonts w:ascii="Book Antiqua" w:hAnsi="Book Antiqua"/>
          <w:b w:val="0"/>
          <w:bCs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4BBE7E" wp14:editId="13D7A8E4">
                <wp:simplePos x="0" y="0"/>
                <wp:positionH relativeFrom="margin">
                  <wp:align>center</wp:align>
                </wp:positionH>
                <wp:positionV relativeFrom="paragraph">
                  <wp:posOffset>259080</wp:posOffset>
                </wp:positionV>
                <wp:extent cx="3429000" cy="91440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026A3" w14:textId="77777777" w:rsidR="00EF71E7" w:rsidRPr="00423095" w:rsidRDefault="00EF71E7" w:rsidP="00375A52">
                            <w:pPr>
                              <w:rPr>
                                <w:rFonts w:ascii="Garamond" w:hAnsi="Garamond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6F371EDE" w14:textId="77777777" w:rsidR="00EF71E7" w:rsidRPr="003649DC" w:rsidRDefault="00EF71E7" w:rsidP="00375A52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  <w:t>REPUBLIKA E KO</w:t>
                            </w:r>
                            <w:r w:rsidRPr="003649DC"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  <w:t>SOVËS</w:t>
                            </w:r>
                          </w:p>
                          <w:p w14:paraId="30A81AD1" w14:textId="77777777" w:rsidR="00EF71E7" w:rsidRPr="00F62594" w:rsidRDefault="00EF71E7" w:rsidP="00375A52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</w:rPr>
                            </w:pPr>
                            <w:r w:rsidRPr="00F62594"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</w:rPr>
                              <w:t>REPUBLIKA KOSOVA/REPUBLIC OF KOSOV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  <w:p w14:paraId="3C199A9E" w14:textId="77777777" w:rsidR="00EF71E7" w:rsidRPr="003649DC" w:rsidRDefault="00EF71E7" w:rsidP="00375A52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</w:pPr>
                            <w:r w:rsidRPr="003649DC"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  <w:t>KOMUNA E GJILANIT</w:t>
                            </w:r>
                          </w:p>
                          <w:p w14:paraId="3D4D7F4F" w14:textId="77777777" w:rsidR="00EF71E7" w:rsidRPr="00B179FC" w:rsidRDefault="00EF71E7" w:rsidP="00375A52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  <w:t>OP</w:t>
                            </w:r>
                            <w:r w:rsidRPr="0091142E"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  <w:t>Š</w:t>
                            </w:r>
                            <w:r w:rsidRPr="00B179FC"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  <w:t>TINA GNJILANE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16"/>
                                <w:szCs w:val="16"/>
                              </w:rPr>
                              <w:t>/</w:t>
                            </w:r>
                            <w:r w:rsidRPr="00B179FC">
                              <w:rPr>
                                <w:rFonts w:ascii="Palatino Linotype" w:hAnsi="Palatino Linotype"/>
                                <w:b/>
                                <w:bCs/>
                                <w:sz w:val="16"/>
                                <w:szCs w:val="16"/>
                              </w:rPr>
                              <w:t>MUNICIPAL GJILAN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16"/>
                                <w:szCs w:val="16"/>
                              </w:rPr>
                              <w:t>/</w:t>
                            </w:r>
                            <w:r w:rsidRPr="00B179FC"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  <w:t xml:space="preserve">GILAN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179FC"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  <w:t>BELEDIYESI</w:t>
                            </w:r>
                          </w:p>
                          <w:p w14:paraId="6119C05B" w14:textId="77777777" w:rsidR="00EF71E7" w:rsidRPr="003649DC" w:rsidRDefault="00EF71E7" w:rsidP="00375A52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3F547EA" w14:textId="77777777" w:rsidR="00EF71E7" w:rsidRPr="00275125" w:rsidRDefault="00EF71E7" w:rsidP="00375A5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4BBE7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20.4pt;width:270pt;height:1in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">
                <v:textbox>
                  <w:txbxContent>
                    <w:p w14:paraId="61E026A3" w14:textId="77777777" w:rsidR="00EF71E7" w:rsidRPr="00423095" w:rsidRDefault="00EF71E7" w:rsidP="00375A52">
                      <w:pPr>
                        <w:rPr>
                          <w:rFonts w:ascii="Garamond" w:hAnsi="Garamond"/>
                          <w:b/>
                          <w:sz w:val="2"/>
                          <w:szCs w:val="2"/>
                        </w:rPr>
                      </w:pPr>
                    </w:p>
                    <w:p w14:paraId="6F371EDE" w14:textId="77777777" w:rsidR="00EF71E7" w:rsidRPr="003649DC" w:rsidRDefault="00EF71E7" w:rsidP="00375A52">
                      <w:pPr>
                        <w:jc w:val="center"/>
                        <w:rPr>
                          <w:rFonts w:ascii="Garamond" w:hAnsi="Garamond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b/>
                          <w:sz w:val="20"/>
                          <w:szCs w:val="20"/>
                        </w:rPr>
                        <w:t>REPUBLIKA E KO</w:t>
                      </w:r>
                      <w:r w:rsidRPr="003649DC">
                        <w:rPr>
                          <w:rFonts w:ascii="Garamond" w:hAnsi="Garamond"/>
                          <w:b/>
                          <w:sz w:val="20"/>
                          <w:szCs w:val="20"/>
                        </w:rPr>
                        <w:t>SOVËS</w:t>
                      </w:r>
                    </w:p>
                    <w:p w14:paraId="30A81AD1" w14:textId="77777777" w:rsidR="00EF71E7" w:rsidRPr="00F62594" w:rsidRDefault="00EF71E7" w:rsidP="00375A52">
                      <w:pPr>
                        <w:jc w:val="center"/>
                        <w:rPr>
                          <w:rFonts w:ascii="Garamond" w:hAnsi="Garamond"/>
                          <w:b/>
                          <w:sz w:val="16"/>
                          <w:szCs w:val="16"/>
                        </w:rPr>
                      </w:pPr>
                      <w:r w:rsidRPr="00F62594">
                        <w:rPr>
                          <w:rFonts w:ascii="Garamond" w:hAnsi="Garamond"/>
                          <w:b/>
                          <w:sz w:val="16"/>
                          <w:szCs w:val="16"/>
                        </w:rPr>
                        <w:t>REPUBLIKA KOSOVA/REPUBLIC OF KOSOV</w:t>
                      </w:r>
                      <w:r>
                        <w:rPr>
                          <w:rFonts w:ascii="Garamond" w:hAnsi="Garamond"/>
                          <w:b/>
                          <w:sz w:val="16"/>
                          <w:szCs w:val="16"/>
                        </w:rPr>
                        <w:t>A</w:t>
                      </w:r>
                    </w:p>
                    <w:p w14:paraId="3C199A9E" w14:textId="77777777" w:rsidR="00EF71E7" w:rsidRPr="003649DC" w:rsidRDefault="00EF71E7" w:rsidP="00375A52">
                      <w:pPr>
                        <w:jc w:val="center"/>
                        <w:rPr>
                          <w:rFonts w:ascii="Garamond" w:hAnsi="Garamond"/>
                          <w:b/>
                          <w:sz w:val="20"/>
                          <w:szCs w:val="20"/>
                        </w:rPr>
                      </w:pPr>
                      <w:r w:rsidRPr="003649DC">
                        <w:rPr>
                          <w:rFonts w:ascii="Garamond" w:hAnsi="Garamond"/>
                          <w:b/>
                          <w:sz w:val="20"/>
                          <w:szCs w:val="20"/>
                        </w:rPr>
                        <w:t>KOMUNA E GJILANIT</w:t>
                      </w:r>
                    </w:p>
                    <w:p w14:paraId="3D4D7F4F" w14:textId="77777777" w:rsidR="00EF71E7" w:rsidRPr="00B179FC" w:rsidRDefault="00EF71E7" w:rsidP="00375A52">
                      <w:pPr>
                        <w:jc w:val="center"/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  <w:t>OP</w:t>
                      </w:r>
                      <w:r w:rsidRPr="0091142E"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  <w:t>Š</w:t>
                      </w:r>
                      <w:r w:rsidRPr="00B179FC"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  <w:t>TINA GNJILANE</w:t>
                      </w:r>
                      <w:r>
                        <w:rPr>
                          <w:rFonts w:ascii="Palatino Linotype" w:hAnsi="Palatino Linotype"/>
                          <w:b/>
                          <w:bCs/>
                          <w:sz w:val="16"/>
                          <w:szCs w:val="16"/>
                        </w:rPr>
                        <w:t>/</w:t>
                      </w:r>
                      <w:r w:rsidRPr="00B179FC">
                        <w:rPr>
                          <w:rFonts w:ascii="Palatino Linotype" w:hAnsi="Palatino Linotype"/>
                          <w:b/>
                          <w:bCs/>
                          <w:sz w:val="16"/>
                          <w:szCs w:val="16"/>
                        </w:rPr>
                        <w:t>MUNICIPAL GJILAN</w:t>
                      </w:r>
                      <w:r>
                        <w:rPr>
                          <w:rFonts w:ascii="Palatino Linotype" w:hAnsi="Palatino Linotype"/>
                          <w:b/>
                          <w:bCs/>
                          <w:sz w:val="16"/>
                          <w:szCs w:val="16"/>
                        </w:rPr>
                        <w:t>/</w:t>
                      </w:r>
                      <w:r w:rsidRPr="00B179FC"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  <w:t xml:space="preserve">GILAN </w:t>
                      </w:r>
                      <w:r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B179FC"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  <w:t>BELEDIYESI</w:t>
                      </w:r>
                    </w:p>
                    <w:p w14:paraId="6119C05B" w14:textId="77777777" w:rsidR="00EF71E7" w:rsidRPr="003649DC" w:rsidRDefault="00EF71E7" w:rsidP="00375A52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33F547EA" w14:textId="77777777" w:rsidR="00EF71E7" w:rsidRPr="00275125" w:rsidRDefault="00EF71E7" w:rsidP="00375A5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31932">
        <w:rPr>
          <w:rFonts w:ascii="Book Antiqua" w:hAnsi="Book Antiqua"/>
          <w:noProof/>
          <w:lang w:val="en-US"/>
        </w:rPr>
        <w:drawing>
          <wp:inline distT="0" distB="0" distL="0" distR="0" wp14:anchorId="5376E062" wp14:editId="128AFA3A">
            <wp:extent cx="914400" cy="1047750"/>
            <wp:effectExtent l="0" t="0" r="0" b="0"/>
            <wp:docPr id="4" name="Picture 4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</w:rPr>
        <w:t xml:space="preserve">                                                                                                                     </w:t>
      </w:r>
      <w:r w:rsidRPr="004D4711">
        <w:rPr>
          <w:rFonts w:ascii="Book Antiqua" w:hAnsi="Book Antiqua"/>
          <w:noProof/>
          <w:lang w:val="en-US"/>
        </w:rPr>
        <w:drawing>
          <wp:inline distT="0" distB="0" distL="0" distR="0" wp14:anchorId="78AE48C0" wp14:editId="5129EB1B">
            <wp:extent cx="762000" cy="1028700"/>
            <wp:effectExtent l="0" t="0" r="0" b="0"/>
            <wp:docPr id="3" name="Picture 3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EEA9B" w14:textId="77777777" w:rsidR="00375A52" w:rsidRPr="00375A52" w:rsidRDefault="00375A52" w:rsidP="00375A52">
      <w:pPr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D404D" wp14:editId="7308AD7A">
                <wp:simplePos x="0" y="0"/>
                <wp:positionH relativeFrom="margin">
                  <wp:align>center</wp:align>
                </wp:positionH>
                <wp:positionV relativeFrom="paragraph">
                  <wp:posOffset>183515</wp:posOffset>
                </wp:positionV>
                <wp:extent cx="5558790" cy="0"/>
                <wp:effectExtent l="0" t="19050" r="41910" b="381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879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0076082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4.45pt" to="437.7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" strokecolor="navy" strokeweight="4.5pt">
                <w10:wrap anchorx="margin"/>
              </v:line>
            </w:pict>
          </mc:Fallback>
        </mc:AlternateContent>
      </w:r>
    </w:p>
    <w:p w14:paraId="2FDAED63" w14:textId="77777777" w:rsidR="00375A52" w:rsidRPr="00375A52" w:rsidRDefault="00375A52" w:rsidP="00375A5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A52">
        <w:rPr>
          <w:rFonts w:ascii="Times New Roman" w:hAnsi="Times New Roman" w:cs="Times New Roman"/>
          <w:b/>
          <w:sz w:val="24"/>
          <w:szCs w:val="24"/>
        </w:rPr>
        <w:t>DREJTORIA PËR URBANIZËM, PLANIFIKIM DHE MBROJTJE TË MJEDISIT</w:t>
      </w:r>
    </w:p>
    <w:p w14:paraId="7CD1C7D4" w14:textId="77777777" w:rsidR="00375A52" w:rsidRPr="00071A31" w:rsidRDefault="00375A52" w:rsidP="00375A52">
      <w:pPr>
        <w:rPr>
          <w:rFonts w:ascii="Garamond" w:hAnsi="Garamond" w:cs="Arial"/>
          <w:sz w:val="6"/>
          <w:szCs w:val="6"/>
        </w:rPr>
      </w:pPr>
    </w:p>
    <w:p w14:paraId="16EBFA31" w14:textId="77777777" w:rsidR="00375A52" w:rsidRPr="00071A31" w:rsidRDefault="00375A52" w:rsidP="00375A52">
      <w:pPr>
        <w:rPr>
          <w:rFonts w:ascii="Garamond" w:hAnsi="Garamond" w:cs="Arial"/>
          <w:sz w:val="6"/>
          <w:szCs w:val="6"/>
        </w:rPr>
      </w:pPr>
    </w:p>
    <w:p w14:paraId="75E9EC1C" w14:textId="77777777" w:rsidR="00375A52" w:rsidRPr="00071A31" w:rsidRDefault="00375A52" w:rsidP="00375A52">
      <w:pPr>
        <w:rPr>
          <w:rFonts w:ascii="Garamond" w:hAnsi="Garamond" w:cs="Arial"/>
          <w:sz w:val="6"/>
          <w:szCs w:val="6"/>
        </w:rPr>
      </w:pPr>
    </w:p>
    <w:p w14:paraId="2A13E4DC" w14:textId="77777777" w:rsidR="00375A52" w:rsidRPr="00071A31" w:rsidRDefault="00375A52" w:rsidP="00375A52">
      <w:pPr>
        <w:rPr>
          <w:rFonts w:ascii="Garamond" w:hAnsi="Garamond" w:cs="Arial"/>
          <w:sz w:val="6"/>
          <w:szCs w:val="6"/>
        </w:rPr>
      </w:pPr>
    </w:p>
    <w:p w14:paraId="583F9AF8" w14:textId="77777777" w:rsidR="00375A52" w:rsidRPr="00071A31" w:rsidRDefault="00375A52" w:rsidP="00375A52">
      <w:pPr>
        <w:rPr>
          <w:rFonts w:ascii="Garamond" w:hAnsi="Garamond" w:cs="Arial"/>
          <w:sz w:val="6"/>
          <w:szCs w:val="6"/>
        </w:rPr>
      </w:pPr>
    </w:p>
    <w:p w14:paraId="1B290E23" w14:textId="77777777" w:rsidR="00375A52" w:rsidRPr="00071A31" w:rsidRDefault="00375A52" w:rsidP="00375A52">
      <w:pPr>
        <w:rPr>
          <w:rFonts w:ascii="Garamond" w:hAnsi="Garamond" w:cs="Arial"/>
          <w:sz w:val="6"/>
          <w:szCs w:val="6"/>
        </w:rPr>
      </w:pPr>
    </w:p>
    <w:p w14:paraId="111019BA" w14:textId="77777777" w:rsidR="00DC7DD5" w:rsidRDefault="00DC7DD5" w:rsidP="00DC7DD5">
      <w:pPr>
        <w:rPr>
          <w:rFonts w:ascii="Garamond" w:hAnsi="Garamond" w:cs="Arial"/>
          <w:sz w:val="6"/>
          <w:szCs w:val="6"/>
        </w:rPr>
      </w:pPr>
    </w:p>
    <w:p w14:paraId="31B7B336" w14:textId="77777777" w:rsidR="00DC7DD5" w:rsidRDefault="00DC7DD5" w:rsidP="00DC7DD5">
      <w:pPr>
        <w:rPr>
          <w:rFonts w:ascii="Garamond" w:hAnsi="Garamond" w:cs="Arial"/>
          <w:sz w:val="6"/>
          <w:szCs w:val="6"/>
        </w:rPr>
      </w:pPr>
    </w:p>
    <w:p w14:paraId="6F62F2C2" w14:textId="77777777" w:rsidR="00DC7DD5" w:rsidRDefault="00DC7DD5" w:rsidP="00DC7DD5">
      <w:pPr>
        <w:rPr>
          <w:rFonts w:ascii="Garamond" w:hAnsi="Garamond" w:cs="Arial"/>
          <w:sz w:val="6"/>
          <w:szCs w:val="6"/>
        </w:rPr>
      </w:pPr>
    </w:p>
    <w:p w14:paraId="4207FC01" w14:textId="77777777" w:rsidR="00DC7DD5" w:rsidRDefault="00DC7DD5" w:rsidP="00DC7DD5">
      <w:pPr>
        <w:rPr>
          <w:rFonts w:ascii="Garamond" w:hAnsi="Garamond" w:cs="Arial"/>
          <w:sz w:val="6"/>
          <w:szCs w:val="6"/>
        </w:rPr>
      </w:pPr>
    </w:p>
    <w:p w14:paraId="475B9232" w14:textId="77777777" w:rsidR="00DC7DD5" w:rsidRPr="00071A31" w:rsidRDefault="00DC7DD5" w:rsidP="00DC7DD5">
      <w:pPr>
        <w:rPr>
          <w:rFonts w:ascii="Garamond" w:hAnsi="Garamond" w:cs="Arial"/>
          <w:sz w:val="6"/>
          <w:szCs w:val="6"/>
        </w:rPr>
      </w:pPr>
    </w:p>
    <w:p w14:paraId="1F046E38" w14:textId="77777777" w:rsidR="00DC7DD5" w:rsidRPr="00C45AA5" w:rsidRDefault="00DC7DD5" w:rsidP="00DC7DD5">
      <w:pPr>
        <w:pStyle w:val="Heading4"/>
        <w:ind w:left="7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4"/>
        </w:rPr>
        <w:t xml:space="preserve">      </w:t>
      </w:r>
      <w:r w:rsidRPr="00C45AA5">
        <w:rPr>
          <w:rFonts w:ascii="Times New Roman" w:hAnsi="Times New Roman"/>
          <w:sz w:val="24"/>
        </w:rPr>
        <w:t xml:space="preserve">Lënda:      </w:t>
      </w:r>
      <w:r w:rsidRPr="00C45AA5">
        <w:rPr>
          <w:rFonts w:ascii="Times New Roman" w:hAnsi="Times New Roman"/>
          <w:sz w:val="32"/>
          <w:szCs w:val="32"/>
        </w:rPr>
        <w:t xml:space="preserve">RAPORT  </w:t>
      </w:r>
      <w:r>
        <w:rPr>
          <w:rFonts w:ascii="Times New Roman" w:hAnsi="Times New Roman"/>
          <w:sz w:val="32"/>
          <w:szCs w:val="32"/>
        </w:rPr>
        <w:t xml:space="preserve">I  </w:t>
      </w:r>
      <w:r w:rsidRPr="00C45AA5">
        <w:rPr>
          <w:rFonts w:ascii="Times New Roman" w:hAnsi="Times New Roman"/>
          <w:sz w:val="32"/>
          <w:szCs w:val="32"/>
        </w:rPr>
        <w:t>PUN</w:t>
      </w:r>
      <w:r>
        <w:rPr>
          <w:rFonts w:ascii="Times New Roman" w:hAnsi="Times New Roman"/>
          <w:sz w:val="32"/>
          <w:szCs w:val="32"/>
        </w:rPr>
        <w:t>ËS  SË  DUPMM</w:t>
      </w:r>
      <w:r w:rsidRPr="00C45AA5">
        <w:rPr>
          <w:rFonts w:ascii="Times New Roman" w:hAnsi="Times New Roman"/>
          <w:sz w:val="32"/>
          <w:szCs w:val="32"/>
        </w:rPr>
        <w:t>-së</w:t>
      </w:r>
    </w:p>
    <w:p w14:paraId="08051CF5" w14:textId="429014CF" w:rsidR="00DC7DD5" w:rsidRPr="00C45AA5" w:rsidRDefault="00DC7DD5" w:rsidP="00DC7DD5">
      <w:pPr>
        <w:jc w:val="center"/>
        <w:rPr>
          <w:b/>
          <w:bCs/>
          <w:u w:val="single"/>
        </w:rPr>
      </w:pPr>
      <w:r>
        <w:rPr>
          <w:b/>
          <w:bCs/>
        </w:rPr>
        <w:t xml:space="preserve">        </w:t>
      </w:r>
      <w:r w:rsidRPr="00C45AA5">
        <w:rPr>
          <w:b/>
          <w:bCs/>
        </w:rPr>
        <w:t xml:space="preserve">   </w:t>
      </w:r>
      <w:r w:rsidR="00B974B4">
        <w:rPr>
          <w:b/>
          <w:bCs/>
          <w:u w:val="single"/>
        </w:rPr>
        <w:t>Për periudhën</w:t>
      </w:r>
      <w:r w:rsidR="000F284C">
        <w:rPr>
          <w:b/>
          <w:bCs/>
          <w:u w:val="single"/>
        </w:rPr>
        <w:t xml:space="preserve"> </w:t>
      </w:r>
      <w:r w:rsidR="00B974B4">
        <w:rPr>
          <w:b/>
          <w:bCs/>
          <w:u w:val="single"/>
        </w:rPr>
        <w:t>:</w:t>
      </w:r>
      <w:r w:rsidR="006C177E">
        <w:rPr>
          <w:b/>
          <w:bCs/>
          <w:u w:val="single"/>
        </w:rPr>
        <w:t xml:space="preserve"> 01</w:t>
      </w:r>
      <w:r w:rsidRPr="00C45AA5">
        <w:rPr>
          <w:b/>
          <w:bCs/>
          <w:u w:val="single"/>
        </w:rPr>
        <w:t>.01.20</w:t>
      </w:r>
      <w:r w:rsidR="006C177E">
        <w:rPr>
          <w:b/>
          <w:bCs/>
          <w:u w:val="single"/>
        </w:rPr>
        <w:t>24</w:t>
      </w:r>
      <w:r w:rsidR="00B974B4">
        <w:rPr>
          <w:b/>
          <w:bCs/>
          <w:u w:val="single"/>
        </w:rPr>
        <w:t xml:space="preserve"> deri </w:t>
      </w:r>
      <w:r w:rsidR="00AE29F0">
        <w:rPr>
          <w:b/>
          <w:bCs/>
          <w:u w:val="single"/>
        </w:rPr>
        <w:t xml:space="preserve">më </w:t>
      </w:r>
      <w:r w:rsidR="00547CB2">
        <w:rPr>
          <w:b/>
          <w:bCs/>
          <w:u w:val="single"/>
        </w:rPr>
        <w:t>31.12</w:t>
      </w:r>
      <w:r w:rsidR="006C177E">
        <w:rPr>
          <w:b/>
          <w:bCs/>
          <w:u w:val="single"/>
        </w:rPr>
        <w:t>.2024</w:t>
      </w:r>
      <w:r w:rsidRPr="00C45AA5">
        <w:rPr>
          <w:b/>
          <w:bCs/>
          <w:u w:val="single"/>
        </w:rPr>
        <w:t>.</w:t>
      </w:r>
    </w:p>
    <w:p w14:paraId="4734A8D6" w14:textId="77777777" w:rsidR="00DC7DD5" w:rsidRPr="00C45AA5" w:rsidRDefault="00DC7DD5" w:rsidP="00DC7DD5">
      <w:pPr>
        <w:pStyle w:val="Heading4"/>
        <w:ind w:left="720"/>
        <w:rPr>
          <w:rFonts w:ascii="Times New Roman" w:hAnsi="Times New Roman"/>
          <w:sz w:val="24"/>
        </w:rPr>
      </w:pPr>
      <w:r w:rsidRPr="00C45AA5">
        <w:rPr>
          <w:rFonts w:ascii="Times New Roman" w:hAnsi="Times New Roman"/>
          <w:sz w:val="24"/>
        </w:rPr>
        <w:t xml:space="preserve">               </w:t>
      </w:r>
      <w:r>
        <w:rPr>
          <w:rFonts w:ascii="Times New Roman" w:hAnsi="Times New Roman"/>
          <w:sz w:val="24"/>
        </w:rPr>
        <w:t xml:space="preserve">                                </w:t>
      </w:r>
      <w:r w:rsidRPr="00C45AA5">
        <w:rPr>
          <w:rFonts w:ascii="Times New Roman" w:hAnsi="Times New Roman"/>
          <w:sz w:val="24"/>
        </w:rPr>
        <w:t xml:space="preserve"> (i formës së shkurtër)</w:t>
      </w:r>
    </w:p>
    <w:p w14:paraId="4A3DFEAC" w14:textId="77777777" w:rsidR="00DC7DD5" w:rsidRDefault="00DC7DD5" w:rsidP="00DC7DD5">
      <w:pPr>
        <w:spacing w:line="276" w:lineRule="auto"/>
        <w:jc w:val="center"/>
      </w:pPr>
    </w:p>
    <w:p w14:paraId="475FD9A9" w14:textId="77777777" w:rsidR="00DC7DD5" w:rsidRDefault="00DC7DD5" w:rsidP="00DC7DD5">
      <w:pPr>
        <w:spacing w:line="276" w:lineRule="auto"/>
        <w:jc w:val="center"/>
      </w:pPr>
    </w:p>
    <w:p w14:paraId="432E05AE" w14:textId="77777777" w:rsidR="00DC7DD5" w:rsidRDefault="00DC7DD5" w:rsidP="00DC7DD5">
      <w:pPr>
        <w:spacing w:line="276" w:lineRule="auto"/>
        <w:jc w:val="center"/>
      </w:pPr>
    </w:p>
    <w:p w14:paraId="579CC385" w14:textId="77777777" w:rsidR="00DC7DD5" w:rsidRDefault="00DC7DD5" w:rsidP="00DC7DD5">
      <w:pPr>
        <w:spacing w:line="276" w:lineRule="auto"/>
        <w:jc w:val="center"/>
      </w:pPr>
    </w:p>
    <w:p w14:paraId="3405A0F4" w14:textId="77777777" w:rsidR="00DC7DD5" w:rsidRDefault="00DC7DD5" w:rsidP="00375A52">
      <w:pPr>
        <w:spacing w:line="276" w:lineRule="auto"/>
      </w:pPr>
    </w:p>
    <w:p w14:paraId="56FC9019" w14:textId="77777777" w:rsidR="00DC7DD5" w:rsidRDefault="00DC7DD5" w:rsidP="00DC7DD5">
      <w:pPr>
        <w:spacing w:line="276" w:lineRule="auto"/>
        <w:jc w:val="center"/>
      </w:pPr>
    </w:p>
    <w:p w14:paraId="3230F8A8" w14:textId="77777777" w:rsidR="00DC7DD5" w:rsidRDefault="00DC7DD5" w:rsidP="00DC7DD5">
      <w:pPr>
        <w:spacing w:line="276" w:lineRule="auto"/>
        <w:jc w:val="center"/>
      </w:pPr>
    </w:p>
    <w:p w14:paraId="1BC01C40" w14:textId="77777777" w:rsidR="00DC7DD5" w:rsidRPr="00803FB0" w:rsidRDefault="00DC7DD5" w:rsidP="00DC7DD5">
      <w:pPr>
        <w:spacing w:line="276" w:lineRule="auto"/>
        <w:rPr>
          <w:rFonts w:ascii="Constantia" w:hAnsi="Constantia" w:cs="Arial"/>
          <w:b/>
          <w:sz w:val="28"/>
          <w:szCs w:val="28"/>
        </w:rPr>
      </w:pPr>
    </w:p>
    <w:p w14:paraId="34088736" w14:textId="77777777" w:rsidR="00DC7DD5" w:rsidRDefault="00DC7DD5" w:rsidP="00DC7DD5">
      <w:pPr>
        <w:spacing w:line="276" w:lineRule="auto"/>
        <w:jc w:val="center"/>
        <w:rPr>
          <w:rFonts w:ascii="Constantia" w:hAnsi="Constantia" w:cs="Arial"/>
        </w:rPr>
      </w:pPr>
      <w:r w:rsidRPr="00803FB0">
        <w:rPr>
          <w:rFonts w:ascii="Constantia" w:hAnsi="Constantia" w:cs="Arial"/>
          <w:sz w:val="28"/>
          <w:szCs w:val="28"/>
        </w:rPr>
        <w:t xml:space="preserve">                                               </w:t>
      </w:r>
      <w:r>
        <w:rPr>
          <w:rFonts w:ascii="Constantia" w:hAnsi="Constantia" w:cs="Arial"/>
          <w:sz w:val="28"/>
          <w:szCs w:val="28"/>
        </w:rPr>
        <w:t xml:space="preserve">            </w:t>
      </w:r>
      <w:r w:rsidRPr="00803FB0">
        <w:rPr>
          <w:rFonts w:ascii="Constantia" w:hAnsi="Constantia" w:cs="Arial"/>
          <w:sz w:val="28"/>
          <w:szCs w:val="28"/>
        </w:rPr>
        <w:t xml:space="preserve">     </w:t>
      </w:r>
      <w:r w:rsidRPr="00E75DE9">
        <w:rPr>
          <w:rFonts w:ascii="Constantia" w:hAnsi="Constantia" w:cs="Arial"/>
          <w:b/>
        </w:rPr>
        <w:t>Drejtori:</w:t>
      </w:r>
      <w:r w:rsidRPr="00803FB0">
        <w:rPr>
          <w:rFonts w:ascii="Constantia" w:hAnsi="Constantia" w:cs="Arial"/>
        </w:rPr>
        <w:t xml:space="preserve"> Ali Arifi</w:t>
      </w:r>
    </w:p>
    <w:p w14:paraId="4637F2CA" w14:textId="77777777" w:rsidR="00DC7DD5" w:rsidRDefault="00DC7DD5" w:rsidP="00DC7DD5">
      <w:pPr>
        <w:spacing w:line="276" w:lineRule="auto"/>
        <w:jc w:val="center"/>
        <w:rPr>
          <w:rFonts w:ascii="Constantia" w:hAnsi="Constantia" w:cs="Arial"/>
        </w:rPr>
      </w:pPr>
    </w:p>
    <w:p w14:paraId="6B6A16DB" w14:textId="77777777" w:rsidR="00DC7DD5" w:rsidRDefault="00DC7DD5" w:rsidP="00DC7DD5">
      <w:pPr>
        <w:spacing w:line="276" w:lineRule="auto"/>
        <w:rPr>
          <w:rFonts w:ascii="Constantia" w:hAnsi="Constantia" w:cs="Arial"/>
        </w:rPr>
      </w:pPr>
    </w:p>
    <w:p w14:paraId="5FFBC9D7" w14:textId="77777777" w:rsidR="00DC7DD5" w:rsidRDefault="00DC7DD5" w:rsidP="00DC7DD5">
      <w:pPr>
        <w:spacing w:line="276" w:lineRule="auto"/>
        <w:jc w:val="center"/>
        <w:rPr>
          <w:rFonts w:ascii="Constantia" w:hAnsi="Constantia" w:cs="Arial"/>
        </w:rPr>
      </w:pPr>
    </w:p>
    <w:p w14:paraId="597B27BA" w14:textId="77777777" w:rsidR="00DC7DD5" w:rsidRPr="00387F6A" w:rsidRDefault="006C177E" w:rsidP="00DC7DD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Janar, 2025</w:t>
      </w:r>
    </w:p>
    <w:p w14:paraId="64AFF69D" w14:textId="77777777" w:rsidR="00DC7DD5" w:rsidRDefault="00DC7DD5" w:rsidP="00DC7DD5">
      <w:pPr>
        <w:rPr>
          <w:rFonts w:ascii="Garamond" w:hAnsi="Garamond" w:cs="Arial"/>
          <w:sz w:val="6"/>
          <w:szCs w:val="6"/>
        </w:rPr>
      </w:pPr>
    </w:p>
    <w:p w14:paraId="163E1E57" w14:textId="77777777" w:rsidR="00104829" w:rsidRDefault="00104829" w:rsidP="00DC7DD5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94E264" w14:textId="22F7C49A" w:rsidR="00DC7DD5" w:rsidRPr="007C4BB8" w:rsidRDefault="00DC7DD5" w:rsidP="00DC7DD5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1E78">
        <w:rPr>
          <w:rFonts w:ascii="Times New Roman" w:hAnsi="Times New Roman" w:cs="Times New Roman"/>
          <w:color w:val="000000"/>
          <w:sz w:val="24"/>
          <w:szCs w:val="24"/>
        </w:rPr>
        <w:lastRenderedPageBreak/>
        <w:t>Ky raport paraqet punën e Drejtorisë për Urbanizëm, Planifikim dhe Mbrojtje të Mjedisit – DUPMM pë</w:t>
      </w:r>
      <w:r w:rsidR="006C177E">
        <w:rPr>
          <w:rFonts w:ascii="Times New Roman" w:hAnsi="Times New Roman" w:cs="Times New Roman"/>
          <w:color w:val="000000"/>
          <w:sz w:val="24"/>
          <w:szCs w:val="24"/>
        </w:rPr>
        <w:t>r periudhën 01 janar 2024</w:t>
      </w:r>
      <w:r w:rsidR="000F284C">
        <w:rPr>
          <w:rFonts w:ascii="Times New Roman" w:hAnsi="Times New Roman" w:cs="Times New Roman"/>
          <w:color w:val="000000"/>
          <w:sz w:val="24"/>
          <w:szCs w:val="24"/>
        </w:rPr>
        <w:t xml:space="preserve"> deri</w:t>
      </w:r>
      <w:r w:rsidR="007861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78C4">
        <w:rPr>
          <w:rFonts w:ascii="Times New Roman" w:hAnsi="Times New Roman" w:cs="Times New Roman"/>
          <w:color w:val="000000"/>
          <w:sz w:val="24"/>
          <w:szCs w:val="24"/>
        </w:rPr>
        <w:t>më</w:t>
      </w:r>
      <w:r w:rsidR="00786105">
        <w:rPr>
          <w:rFonts w:ascii="Times New Roman" w:hAnsi="Times New Roman" w:cs="Times New Roman"/>
          <w:color w:val="000000"/>
          <w:sz w:val="24"/>
          <w:szCs w:val="24"/>
        </w:rPr>
        <w:t xml:space="preserve"> 31 dhje</w:t>
      </w:r>
      <w:r w:rsidR="00EF71E7">
        <w:rPr>
          <w:rFonts w:ascii="Times New Roman" w:hAnsi="Times New Roman" w:cs="Times New Roman"/>
          <w:color w:val="000000"/>
          <w:sz w:val="24"/>
          <w:szCs w:val="24"/>
        </w:rPr>
        <w:t>tor</w:t>
      </w:r>
      <w:r w:rsidR="006C177E">
        <w:rPr>
          <w:rFonts w:ascii="Times New Roman" w:hAnsi="Times New Roman" w:cs="Times New Roman"/>
          <w:color w:val="000000"/>
          <w:sz w:val="24"/>
          <w:szCs w:val="24"/>
        </w:rPr>
        <w:t xml:space="preserve"> 2024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3BDEBBF" w14:textId="77777777" w:rsidR="00DC7DD5" w:rsidRPr="00211E78" w:rsidRDefault="00DC7DD5" w:rsidP="00DC7D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E78">
        <w:rPr>
          <w:rFonts w:ascii="Times New Roman" w:hAnsi="Times New Roman" w:cs="Times New Roman"/>
          <w:sz w:val="24"/>
          <w:szCs w:val="24"/>
        </w:rPr>
        <w:t>Drejtoria për Urbanizëm, Planifikim dhe Mbrojtje të Mjedisit (DUPMM), në përputhje</w:t>
      </w:r>
      <w:r w:rsidR="00FC78C4">
        <w:rPr>
          <w:rFonts w:ascii="Times New Roman" w:hAnsi="Times New Roman" w:cs="Times New Roman"/>
          <w:sz w:val="24"/>
          <w:szCs w:val="24"/>
        </w:rPr>
        <w:t xml:space="preserve"> me kompetencat ligjore, planin</w:t>
      </w:r>
      <w:r w:rsidR="006C177E">
        <w:rPr>
          <w:rFonts w:ascii="Times New Roman" w:hAnsi="Times New Roman" w:cs="Times New Roman"/>
          <w:sz w:val="24"/>
          <w:szCs w:val="24"/>
        </w:rPr>
        <w:t xml:space="preserve"> vjetor të punës për vitin 2024</w:t>
      </w:r>
      <w:r w:rsidRPr="00211E78">
        <w:rPr>
          <w:rFonts w:ascii="Times New Roman" w:hAnsi="Times New Roman" w:cs="Times New Roman"/>
          <w:sz w:val="24"/>
          <w:szCs w:val="24"/>
        </w:rPr>
        <w:t>, si dhe objektivave</w:t>
      </w:r>
      <w:r w:rsidR="00B974B4">
        <w:rPr>
          <w:rFonts w:ascii="Times New Roman" w:hAnsi="Times New Roman" w:cs="Times New Roman"/>
          <w:sz w:val="24"/>
          <w:szCs w:val="24"/>
        </w:rPr>
        <w:t xml:space="preserve"> dhe prioriteteve</w:t>
      </w:r>
      <w:r w:rsidRPr="00211E78">
        <w:rPr>
          <w:rFonts w:ascii="Times New Roman" w:hAnsi="Times New Roman" w:cs="Times New Roman"/>
          <w:sz w:val="24"/>
          <w:szCs w:val="24"/>
        </w:rPr>
        <w:t xml:space="preserve"> të përcaktuara në këtë plan, është përqendruar në përmbushjen e  Planit të Punës.</w:t>
      </w:r>
    </w:p>
    <w:p w14:paraId="0809DAED" w14:textId="1C06CAAC" w:rsidR="00DC7DD5" w:rsidRPr="00211E78" w:rsidRDefault="00DC7DD5" w:rsidP="00DC7DD5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1E78">
        <w:rPr>
          <w:rFonts w:ascii="Times New Roman" w:hAnsi="Times New Roman" w:cs="Times New Roman"/>
          <w:sz w:val="24"/>
          <w:szCs w:val="24"/>
        </w:rPr>
        <w:t xml:space="preserve">Raporti pasqyron aktivitetet dhe rezultatet e të gjithë </w:t>
      </w:r>
      <w:r w:rsidRPr="00211E78">
        <w:rPr>
          <w:rFonts w:ascii="Times New Roman" w:hAnsi="Times New Roman" w:cs="Times New Roman"/>
          <w:color w:val="000000"/>
          <w:sz w:val="24"/>
          <w:szCs w:val="24"/>
        </w:rPr>
        <w:t xml:space="preserve">sektorëve të DUPMM-së duke u fokusuar në fushat e planifikuara, të cilat përbëjnë objektivat e punës së drejtorisë sipas planit </w:t>
      </w:r>
      <w:r w:rsidR="00913AAB">
        <w:rPr>
          <w:rFonts w:ascii="Times New Roman" w:hAnsi="Times New Roman" w:cs="Times New Roman"/>
          <w:color w:val="000000"/>
          <w:sz w:val="24"/>
          <w:szCs w:val="24"/>
        </w:rPr>
        <w:t>vjetor të punës për vitin 2024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D207615" w14:textId="77777777" w:rsidR="00DC7DD5" w:rsidRPr="00211E78" w:rsidRDefault="00DC7DD5" w:rsidP="00DC7D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E78">
        <w:rPr>
          <w:rFonts w:ascii="Times New Roman" w:hAnsi="Times New Roman" w:cs="Times New Roman"/>
          <w:sz w:val="24"/>
          <w:szCs w:val="24"/>
        </w:rPr>
        <w:t>Raporti bazohet në të dhënat periodike të sektorëve të DUPMM-së dhe komisioneve, përkatësisht:</w:t>
      </w:r>
    </w:p>
    <w:p w14:paraId="615F087A" w14:textId="77777777" w:rsidR="00DC7DD5" w:rsidRPr="00211E78" w:rsidRDefault="00DC7DD5" w:rsidP="00DC7DD5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E78">
        <w:rPr>
          <w:rFonts w:ascii="Times New Roman" w:hAnsi="Times New Roman" w:cs="Times New Roman"/>
          <w:sz w:val="24"/>
          <w:szCs w:val="24"/>
        </w:rPr>
        <w:t>Sektorit për Punë të Përgjithshme Juridike,</w:t>
      </w:r>
    </w:p>
    <w:p w14:paraId="15D50C1C" w14:textId="77777777" w:rsidR="00DC7DD5" w:rsidRPr="00211E78" w:rsidRDefault="00DC7DD5" w:rsidP="00DC7DD5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E78">
        <w:rPr>
          <w:rFonts w:ascii="Times New Roman" w:hAnsi="Times New Roman" w:cs="Times New Roman"/>
          <w:sz w:val="24"/>
          <w:szCs w:val="24"/>
        </w:rPr>
        <w:t>Sektorit të Urbanizmit,</w:t>
      </w:r>
    </w:p>
    <w:p w14:paraId="293E5535" w14:textId="77777777" w:rsidR="00DC7DD5" w:rsidRPr="00211E78" w:rsidRDefault="00DC7DD5" w:rsidP="00DC7DD5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E78">
        <w:rPr>
          <w:rFonts w:ascii="Times New Roman" w:hAnsi="Times New Roman" w:cs="Times New Roman"/>
          <w:sz w:val="24"/>
          <w:szCs w:val="24"/>
        </w:rPr>
        <w:t>Sektorit të Planifikimit,</w:t>
      </w:r>
    </w:p>
    <w:p w14:paraId="57578D39" w14:textId="77777777" w:rsidR="00DC7DD5" w:rsidRDefault="00DC7DD5" w:rsidP="00DC7DD5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E78">
        <w:rPr>
          <w:rFonts w:ascii="Times New Roman" w:hAnsi="Times New Roman" w:cs="Times New Roman"/>
          <w:sz w:val="24"/>
          <w:szCs w:val="24"/>
        </w:rPr>
        <w:t>Komisionit për trajtimin e ndërtimeve pa leje të kategorisë së I-rë</w:t>
      </w:r>
      <w:r w:rsidR="00D137E4">
        <w:rPr>
          <w:rFonts w:ascii="Times New Roman" w:hAnsi="Times New Roman" w:cs="Times New Roman"/>
          <w:sz w:val="24"/>
          <w:szCs w:val="24"/>
        </w:rPr>
        <w:t xml:space="preserve"> dhe II-të</w:t>
      </w:r>
      <w:r w:rsidRPr="00211E78">
        <w:rPr>
          <w:rFonts w:ascii="Times New Roman" w:hAnsi="Times New Roman" w:cs="Times New Roman"/>
          <w:sz w:val="24"/>
          <w:szCs w:val="24"/>
        </w:rPr>
        <w:t>.</w:t>
      </w:r>
    </w:p>
    <w:p w14:paraId="54D19BAC" w14:textId="77777777" w:rsidR="00DC7DD5" w:rsidRPr="00211E78" w:rsidRDefault="00DC7DD5" w:rsidP="00DC7DD5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4DF8C5" w14:textId="77777777" w:rsidR="00DC7DD5" w:rsidRPr="000F284C" w:rsidRDefault="00DC7DD5" w:rsidP="00DC7DD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E78">
        <w:rPr>
          <w:rFonts w:ascii="Times New Roman" w:hAnsi="Times New Roman" w:cs="Times New Roman"/>
          <w:sz w:val="24"/>
          <w:szCs w:val="24"/>
        </w:rPr>
        <w:t>Gjatë periu</w:t>
      </w:r>
      <w:r w:rsidR="00786105">
        <w:rPr>
          <w:rFonts w:ascii="Times New Roman" w:hAnsi="Times New Roman" w:cs="Times New Roman"/>
          <w:sz w:val="24"/>
          <w:szCs w:val="24"/>
        </w:rPr>
        <w:t>dhës kohore</w:t>
      </w:r>
      <w:r w:rsidR="006C177E">
        <w:rPr>
          <w:rFonts w:ascii="Times New Roman" w:hAnsi="Times New Roman" w:cs="Times New Roman"/>
          <w:b/>
          <w:sz w:val="24"/>
          <w:szCs w:val="24"/>
        </w:rPr>
        <w:t>, 01 janar 2024</w:t>
      </w:r>
      <w:r w:rsidR="00786105" w:rsidRPr="000F284C">
        <w:rPr>
          <w:rFonts w:ascii="Times New Roman" w:hAnsi="Times New Roman" w:cs="Times New Roman"/>
          <w:b/>
          <w:sz w:val="24"/>
          <w:szCs w:val="24"/>
        </w:rPr>
        <w:t xml:space="preserve"> – 31 dhjetor</w:t>
      </w:r>
      <w:r w:rsidR="006C177E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Pr="00211E78">
        <w:rPr>
          <w:rFonts w:ascii="Times New Roman" w:hAnsi="Times New Roman" w:cs="Times New Roman"/>
          <w:sz w:val="24"/>
          <w:szCs w:val="24"/>
        </w:rPr>
        <w:t xml:space="preserve">, Drejtoria për Urbanizëm, Planifikim dhe Mbrojtje të Mjedisit, </w:t>
      </w:r>
      <w:r w:rsidRPr="000F284C">
        <w:rPr>
          <w:rFonts w:ascii="Times New Roman" w:hAnsi="Times New Roman" w:cs="Times New Roman"/>
          <w:b/>
          <w:sz w:val="24"/>
          <w:szCs w:val="24"/>
        </w:rPr>
        <w:t xml:space="preserve">ka </w:t>
      </w:r>
      <w:r w:rsidR="001269F1" w:rsidRPr="000F284C">
        <w:rPr>
          <w:rFonts w:ascii="Times New Roman" w:hAnsi="Times New Roman" w:cs="Times New Roman"/>
          <w:b/>
          <w:sz w:val="24"/>
          <w:szCs w:val="24"/>
        </w:rPr>
        <w:t>pranuar për shqyrtim</w:t>
      </w:r>
      <w:r w:rsidR="006C177E">
        <w:rPr>
          <w:rFonts w:ascii="Times New Roman" w:hAnsi="Times New Roman" w:cs="Times New Roman"/>
          <w:b/>
          <w:sz w:val="24"/>
          <w:szCs w:val="24"/>
        </w:rPr>
        <w:t xml:space="preserve"> 999</w:t>
      </w:r>
      <w:r w:rsidRPr="000F28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177E">
        <w:rPr>
          <w:rFonts w:ascii="Times New Roman" w:hAnsi="Times New Roman" w:cs="Times New Roman"/>
          <w:b/>
          <w:sz w:val="24"/>
          <w:szCs w:val="24"/>
        </w:rPr>
        <w:t>kërkesa</w:t>
      </w:r>
      <w:r w:rsidRPr="000F284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324D4488" w14:textId="77777777" w:rsidR="00251FA1" w:rsidRDefault="00FC78C4" w:rsidP="00DC7DD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Nga num</w:t>
      </w:r>
      <w:r w:rsidR="00DC7DD5" w:rsidRPr="00211E78">
        <w:rPr>
          <w:rFonts w:ascii="Times New Roman" w:hAnsi="Times New Roman" w:cs="Times New Roman"/>
          <w:sz w:val="24"/>
          <w:szCs w:val="24"/>
        </w:rPr>
        <w:t>ri i përgjithsh</w:t>
      </w:r>
      <w:r w:rsidR="006C177E">
        <w:rPr>
          <w:rFonts w:ascii="Times New Roman" w:hAnsi="Times New Roman" w:cs="Times New Roman"/>
          <w:sz w:val="24"/>
          <w:szCs w:val="24"/>
        </w:rPr>
        <w:t>ëm i kërkesave të pranuara</w:t>
      </w:r>
      <w:r w:rsidR="00DC7DD5" w:rsidRPr="000F284C">
        <w:rPr>
          <w:rFonts w:ascii="Times New Roman" w:hAnsi="Times New Roman" w:cs="Times New Roman"/>
          <w:b/>
          <w:sz w:val="24"/>
          <w:szCs w:val="24"/>
        </w:rPr>
        <w:t>,</w:t>
      </w:r>
      <w:r w:rsidR="00DC7DD5" w:rsidRPr="00211E78">
        <w:rPr>
          <w:rFonts w:ascii="Times New Roman" w:hAnsi="Times New Roman" w:cs="Times New Roman"/>
          <w:sz w:val="24"/>
          <w:szCs w:val="24"/>
        </w:rPr>
        <w:t xml:space="preserve"> </w:t>
      </w:r>
      <w:r w:rsidR="006C177E">
        <w:rPr>
          <w:rFonts w:ascii="Times New Roman" w:hAnsi="Times New Roman" w:cs="Times New Roman"/>
          <w:sz w:val="24"/>
          <w:szCs w:val="24"/>
        </w:rPr>
        <w:t>numri</w:t>
      </w:r>
      <w:r w:rsidR="00DC7DD5" w:rsidRPr="00211E78">
        <w:rPr>
          <w:rFonts w:ascii="Times New Roman" w:hAnsi="Times New Roman" w:cs="Times New Roman"/>
          <w:sz w:val="24"/>
          <w:szCs w:val="24"/>
        </w:rPr>
        <w:t xml:space="preserve"> </w:t>
      </w:r>
      <w:r w:rsidR="00DC7DD5" w:rsidRPr="000F284C">
        <w:rPr>
          <w:rFonts w:ascii="Times New Roman" w:hAnsi="Times New Roman" w:cs="Times New Roman"/>
          <w:b/>
          <w:sz w:val="24"/>
          <w:szCs w:val="24"/>
        </w:rPr>
        <w:t>në proces të shqyrtimit</w:t>
      </w:r>
      <w:r w:rsidR="00DC7DD5" w:rsidRPr="00211E78">
        <w:rPr>
          <w:rFonts w:ascii="Times New Roman" w:hAnsi="Times New Roman" w:cs="Times New Roman"/>
          <w:sz w:val="24"/>
          <w:szCs w:val="24"/>
        </w:rPr>
        <w:t xml:space="preserve"> apo lëndë të cilat ende nuk kanë marr ndonjë përgjigje nga organi shqyrt</w:t>
      </w:r>
      <w:r w:rsidR="00186819">
        <w:rPr>
          <w:rFonts w:ascii="Times New Roman" w:hAnsi="Times New Roman" w:cs="Times New Roman"/>
          <w:sz w:val="24"/>
          <w:szCs w:val="24"/>
        </w:rPr>
        <w:t xml:space="preserve">ues </w:t>
      </w:r>
      <w:r w:rsidR="00186819" w:rsidRPr="004511AD">
        <w:rPr>
          <w:rFonts w:ascii="Times New Roman" w:hAnsi="Times New Roman" w:cs="Times New Roman"/>
          <w:b/>
          <w:sz w:val="24"/>
          <w:szCs w:val="24"/>
        </w:rPr>
        <w:t xml:space="preserve">janë </w:t>
      </w:r>
      <w:r w:rsidR="006C177E">
        <w:rPr>
          <w:rFonts w:ascii="Times New Roman" w:hAnsi="Times New Roman" w:cs="Times New Roman"/>
          <w:b/>
          <w:sz w:val="24"/>
          <w:szCs w:val="24"/>
        </w:rPr>
        <w:t>76</w:t>
      </w:r>
      <w:r w:rsidR="00AF11E8" w:rsidRPr="004511AD">
        <w:rPr>
          <w:rFonts w:ascii="Times New Roman" w:hAnsi="Times New Roman" w:cs="Times New Roman"/>
          <w:b/>
          <w:sz w:val="24"/>
          <w:szCs w:val="24"/>
        </w:rPr>
        <w:t xml:space="preserve"> lëndë.</w:t>
      </w:r>
    </w:p>
    <w:p w14:paraId="594ADA44" w14:textId="77777777" w:rsidR="00E96F32" w:rsidRPr="00211E78" w:rsidRDefault="00E96F32" w:rsidP="00DC7D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A439C6" w14:textId="3549A483" w:rsidR="00C70989" w:rsidRDefault="00AE29F0" w:rsidP="00AE29F0">
      <w:pPr>
        <w:tabs>
          <w:tab w:val="left" w:pos="3828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590E8FB" w14:textId="77777777" w:rsidR="00AE29F0" w:rsidRDefault="00AE29F0" w:rsidP="00AE29F0">
      <w:pPr>
        <w:tabs>
          <w:tab w:val="left" w:pos="3828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00B97C" w14:textId="77777777" w:rsidR="00AE29F0" w:rsidRDefault="00AE29F0" w:rsidP="00AE29F0">
      <w:pPr>
        <w:tabs>
          <w:tab w:val="left" w:pos="3828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A67B08" w14:textId="77777777" w:rsidR="00AE29F0" w:rsidRDefault="00AE29F0" w:rsidP="00AE29F0">
      <w:pPr>
        <w:tabs>
          <w:tab w:val="left" w:pos="3828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46A36C" w14:textId="77777777" w:rsidR="00AE29F0" w:rsidRDefault="00AE29F0" w:rsidP="00AE29F0">
      <w:pPr>
        <w:tabs>
          <w:tab w:val="left" w:pos="3828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7CF910" w14:textId="77777777" w:rsidR="00AE29F0" w:rsidRDefault="00AE29F0" w:rsidP="00AE29F0">
      <w:pPr>
        <w:tabs>
          <w:tab w:val="left" w:pos="3828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5B3D44" w14:textId="77777777" w:rsidR="00AE29F0" w:rsidRDefault="00AE29F0" w:rsidP="00AE29F0">
      <w:pPr>
        <w:tabs>
          <w:tab w:val="left" w:pos="3828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DC6D60" w14:textId="77777777" w:rsidR="00AE29F0" w:rsidRDefault="00AE29F0" w:rsidP="00AE29F0">
      <w:pPr>
        <w:tabs>
          <w:tab w:val="left" w:pos="3828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3BD2D3" w14:textId="77777777" w:rsidR="00AE29F0" w:rsidRDefault="00AE29F0" w:rsidP="00AE29F0">
      <w:pPr>
        <w:tabs>
          <w:tab w:val="left" w:pos="3828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4916F4" w14:textId="77777777" w:rsidR="002C14DF" w:rsidRDefault="002C14DF" w:rsidP="00DC7DD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EAACFD" w14:textId="77777777" w:rsidR="00AE29F0" w:rsidRPr="00A36D40" w:rsidRDefault="00AE29F0" w:rsidP="00DC7DD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DE71B7" w14:textId="77777777" w:rsidR="00104829" w:rsidRDefault="00104829" w:rsidP="006C177E">
      <w:pPr>
        <w:spacing w:before="240"/>
        <w:jc w:val="both"/>
        <w:rPr>
          <w:rFonts w:ascii="Times New Roman" w:hAnsi="Times New Roman" w:cs="Times New Roman"/>
          <w:b/>
        </w:rPr>
      </w:pPr>
    </w:p>
    <w:p w14:paraId="0D5F0FFA" w14:textId="77777777" w:rsidR="00104829" w:rsidRDefault="00104829" w:rsidP="006C177E">
      <w:pPr>
        <w:spacing w:before="240"/>
        <w:jc w:val="both"/>
        <w:rPr>
          <w:rFonts w:ascii="Times New Roman" w:hAnsi="Times New Roman" w:cs="Times New Roman"/>
          <w:b/>
        </w:rPr>
      </w:pPr>
    </w:p>
    <w:p w14:paraId="4B99D16C" w14:textId="77777777" w:rsidR="00104829" w:rsidRDefault="00104829" w:rsidP="006C177E">
      <w:pPr>
        <w:spacing w:before="240"/>
        <w:jc w:val="both"/>
        <w:rPr>
          <w:rFonts w:ascii="Times New Roman" w:hAnsi="Times New Roman" w:cs="Times New Roman"/>
          <w:b/>
        </w:rPr>
      </w:pPr>
    </w:p>
    <w:p w14:paraId="2902670F" w14:textId="12F49236" w:rsidR="006C177E" w:rsidRPr="00DB7E7A" w:rsidRDefault="006C177E" w:rsidP="006C177E">
      <w:pPr>
        <w:spacing w:before="240"/>
        <w:jc w:val="both"/>
        <w:rPr>
          <w:rFonts w:ascii="Times New Roman" w:hAnsi="Times New Roman" w:cs="Times New Roman"/>
          <w:b/>
        </w:rPr>
      </w:pPr>
      <w:r w:rsidRPr="00DB7E7A">
        <w:rPr>
          <w:rFonts w:ascii="Times New Roman" w:hAnsi="Times New Roman" w:cs="Times New Roman"/>
          <w:b/>
        </w:rPr>
        <w:lastRenderedPageBreak/>
        <w:t>Lloji i akteve të përpunuara:</w:t>
      </w:r>
    </w:p>
    <w:p w14:paraId="5C386AD0" w14:textId="77777777" w:rsidR="006C177E" w:rsidRPr="00DB7E7A" w:rsidRDefault="006C177E" w:rsidP="006C177E">
      <w:pPr>
        <w:jc w:val="both"/>
        <w:rPr>
          <w:rFonts w:ascii="Times New Roman" w:hAnsi="Times New Roman" w:cs="Times New Roman"/>
          <w:sz w:val="4"/>
        </w:rPr>
      </w:pPr>
    </w:p>
    <w:tbl>
      <w:tblPr>
        <w:tblW w:w="9090" w:type="dxa"/>
        <w:tblInd w:w="-72" w:type="dxa"/>
        <w:tblLook w:val="04A0" w:firstRow="1" w:lastRow="0" w:firstColumn="1" w:lastColumn="0" w:noHBand="0" w:noVBand="1"/>
      </w:tblPr>
      <w:tblGrid>
        <w:gridCol w:w="539"/>
        <w:gridCol w:w="7741"/>
        <w:gridCol w:w="810"/>
      </w:tblGrid>
      <w:tr w:rsidR="006C177E" w:rsidRPr="00DB7E7A" w14:paraId="7856EB85" w14:textId="77777777" w:rsidTr="00291FDD">
        <w:trPr>
          <w:trHeight w:val="367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8886" w14:textId="77777777" w:rsidR="006C177E" w:rsidRPr="00DB7E7A" w:rsidRDefault="006C177E" w:rsidP="00291FDD">
            <w:pPr>
              <w:rPr>
                <w:rFonts w:ascii="Times New Roman" w:hAnsi="Times New Roman" w:cs="Times New Roman"/>
                <w:b/>
                <w:bCs/>
              </w:rPr>
            </w:pPr>
            <w:r w:rsidRPr="00DB7E7A">
              <w:rPr>
                <w:rFonts w:ascii="Times New Roman" w:hAnsi="Times New Roman" w:cs="Times New Roman"/>
                <w:b/>
                <w:bCs/>
              </w:rPr>
              <w:t xml:space="preserve">Nr. 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6A27" w14:textId="77777777" w:rsidR="006C177E" w:rsidRPr="00DB7E7A" w:rsidRDefault="006C177E" w:rsidP="00291FDD">
            <w:pPr>
              <w:rPr>
                <w:rFonts w:ascii="Times New Roman" w:hAnsi="Times New Roman" w:cs="Times New Roman"/>
                <w:b/>
                <w:bCs/>
              </w:rPr>
            </w:pPr>
            <w:r w:rsidRPr="00DB7E7A">
              <w:rPr>
                <w:rFonts w:ascii="Times New Roman" w:hAnsi="Times New Roman" w:cs="Times New Roman"/>
                <w:b/>
                <w:bCs/>
              </w:rPr>
              <w:t>Emërtimi  i aktit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A451C2D" w14:textId="77777777" w:rsidR="006C177E" w:rsidRPr="00DB7E7A" w:rsidRDefault="006C177E" w:rsidP="00291F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C177E" w:rsidRPr="00DB7E7A" w14:paraId="6C39E07F" w14:textId="77777777" w:rsidTr="00291FDD">
        <w:trPr>
          <w:trHeight w:val="33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965337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032F3C" w14:textId="77777777" w:rsidR="006C177E" w:rsidRPr="00DB7E7A" w:rsidRDefault="006C177E" w:rsidP="00291FDD">
            <w:pPr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Vendime për lejimin e ndërtimit – Leje ndërtimore (</w:t>
            </w:r>
            <w:r w:rsidRPr="00DB7E7A">
              <w:rPr>
                <w:rFonts w:ascii="Times New Roman" w:hAnsi="Times New Roman" w:cs="Times New Roman"/>
                <w:b/>
                <w:color w:val="000000"/>
              </w:rPr>
              <w:t xml:space="preserve">Kat I dhe II </w:t>
            </w:r>
            <w:r w:rsidRPr="00DB7E7A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7EADD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95</w:t>
            </w:r>
          </w:p>
        </w:tc>
      </w:tr>
      <w:tr w:rsidR="006C177E" w:rsidRPr="00DB7E7A" w14:paraId="486CAAA0" w14:textId="77777777" w:rsidTr="00291FDD">
        <w:trPr>
          <w:trHeight w:val="33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665B88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D21965" w14:textId="77777777" w:rsidR="006C177E" w:rsidRPr="00DB7E7A" w:rsidRDefault="006C177E" w:rsidP="00291FDD">
            <w:pPr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Vendime për përcaktimin – miratimin e kushteve ndërtimore (Tetë (8) Kat. II)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4F8E0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6C177E" w:rsidRPr="00DB7E7A" w14:paraId="35DD63E5" w14:textId="77777777" w:rsidTr="00291FDD">
        <w:trPr>
          <w:trHeight w:val="33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DAA2B5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A0A06A" w14:textId="77777777" w:rsidR="006C177E" w:rsidRPr="00DB7E7A" w:rsidRDefault="006C177E" w:rsidP="00291FDD">
            <w:pPr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Vendime për anulimin e procedurës administrative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6F838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C177E" w:rsidRPr="00DB7E7A" w14:paraId="30A72900" w14:textId="77777777" w:rsidTr="00291FDD">
        <w:trPr>
          <w:trHeight w:val="33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4E233C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AA5C83" w14:textId="77777777" w:rsidR="006C177E" w:rsidRPr="00DB7E7A" w:rsidRDefault="006C177E" w:rsidP="00291FDD">
            <w:pPr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Vendime për lejimin e rrënimit – Leje rrënimi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BCB68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B7E7A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</w:tr>
      <w:tr w:rsidR="006C177E" w:rsidRPr="00DB7E7A" w14:paraId="36D43ED5" w14:textId="77777777" w:rsidTr="00291FDD">
        <w:trPr>
          <w:trHeight w:val="33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DCC523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8384EB" w14:textId="77777777" w:rsidR="006C177E" w:rsidRPr="00DB7E7A" w:rsidRDefault="006C177E" w:rsidP="00291FDD">
            <w:pPr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Vendime për dhënien e Lejes Mjedisore Komunale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EDD7F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6C177E" w:rsidRPr="00DB7E7A" w14:paraId="6994EB95" w14:textId="77777777" w:rsidTr="00291FDD">
        <w:trPr>
          <w:trHeight w:val="33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7B4839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8E7A31" w14:textId="21174982" w:rsidR="006C177E" w:rsidRPr="00DB7E7A" w:rsidRDefault="006C177E" w:rsidP="00291FDD">
            <w:pPr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 xml:space="preserve">Vendime për përfundimin e procedimit </w:t>
            </w:r>
            <w:r w:rsidR="003043C0">
              <w:rPr>
                <w:rFonts w:ascii="Times New Roman" w:hAnsi="Times New Roman" w:cs="Times New Roman"/>
                <w:color w:val="000000"/>
              </w:rPr>
              <w:t>administrative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26838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279</w:t>
            </w:r>
          </w:p>
        </w:tc>
      </w:tr>
      <w:tr w:rsidR="006C177E" w:rsidRPr="00DB7E7A" w14:paraId="5CD09C13" w14:textId="77777777" w:rsidTr="00291FDD">
        <w:trPr>
          <w:trHeight w:val="33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1E98A9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D34397" w14:textId="77777777" w:rsidR="006C177E" w:rsidRPr="00DB7E7A" w:rsidRDefault="006C177E" w:rsidP="00291FDD">
            <w:pPr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Vendime për dhënien e certifikatës së legalizimit  (</w:t>
            </w:r>
            <w:r w:rsidRPr="00DB7E7A">
              <w:rPr>
                <w:rFonts w:ascii="Times New Roman" w:hAnsi="Times New Roman" w:cs="Times New Roman"/>
                <w:b/>
                <w:color w:val="000000"/>
              </w:rPr>
              <w:t xml:space="preserve">Kat I dhe II </w:t>
            </w:r>
            <w:r w:rsidRPr="00DB7E7A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4DA8A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273</w:t>
            </w:r>
          </w:p>
        </w:tc>
      </w:tr>
      <w:tr w:rsidR="006C177E" w:rsidRPr="00DB7E7A" w14:paraId="207FA5C2" w14:textId="77777777" w:rsidTr="00291FDD">
        <w:trPr>
          <w:trHeight w:val="33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006ABB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0B5C02" w14:textId="77777777" w:rsidR="006C177E" w:rsidRPr="00DB7E7A" w:rsidRDefault="006C177E" w:rsidP="00291FDD">
            <w:pPr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Vendime për përfshirje në listë të pritjes  (</w:t>
            </w:r>
            <w:r w:rsidRPr="00DB7E7A">
              <w:rPr>
                <w:rFonts w:ascii="Times New Roman" w:hAnsi="Times New Roman" w:cs="Times New Roman"/>
                <w:b/>
                <w:color w:val="000000"/>
              </w:rPr>
              <w:t xml:space="preserve">Kat I dhe II </w:t>
            </w:r>
            <w:r w:rsidRPr="00DB7E7A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56490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48</w:t>
            </w:r>
          </w:p>
        </w:tc>
      </w:tr>
      <w:tr w:rsidR="006C177E" w:rsidRPr="00DB7E7A" w14:paraId="4000A8B0" w14:textId="77777777" w:rsidTr="00291FDD">
        <w:trPr>
          <w:trHeight w:val="33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06B4DA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5503F0" w14:textId="77777777" w:rsidR="006C177E" w:rsidRPr="00DB7E7A" w:rsidRDefault="006C177E" w:rsidP="00291FDD">
            <w:pPr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 xml:space="preserve">Vendime për leje legalizimi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4C184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6C177E" w:rsidRPr="00DB7E7A" w14:paraId="51415151" w14:textId="77777777" w:rsidTr="00291FDD">
        <w:trPr>
          <w:trHeight w:val="33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544991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973383" w14:textId="77777777" w:rsidR="006C177E" w:rsidRPr="00DB7E7A" w:rsidRDefault="006C177E" w:rsidP="00291FDD">
            <w:pPr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Vendim për largim nga lista e pritjes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021E7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C177E" w:rsidRPr="00DB7E7A" w14:paraId="36D0C18C" w14:textId="77777777" w:rsidTr="00291FDD">
        <w:trPr>
          <w:trHeight w:val="33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D96552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10CCEA" w14:textId="77777777" w:rsidR="006C177E" w:rsidRPr="00DB7E7A" w:rsidRDefault="006C177E" w:rsidP="00291FDD">
            <w:pPr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Vendime për lejimin e riparimit të objekteve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1E37B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6C177E" w:rsidRPr="00DB7E7A" w14:paraId="5486578F" w14:textId="77777777" w:rsidTr="00291FDD">
        <w:trPr>
          <w:trHeight w:val="33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9DE5DD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880623" w14:textId="77777777" w:rsidR="006C177E" w:rsidRPr="00DB7E7A" w:rsidRDefault="006C177E" w:rsidP="00291FDD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DB7E7A">
              <w:rPr>
                <w:rFonts w:ascii="Times New Roman" w:hAnsi="Times New Roman" w:cs="Times New Roman"/>
                <w:color w:val="000000"/>
                <w:lang w:val="de-CH"/>
              </w:rPr>
              <w:t>Vendime për korrigjimin e akteve administrative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01EB1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6C177E" w:rsidRPr="00DB7E7A" w14:paraId="2565CF7C" w14:textId="77777777" w:rsidTr="00291FDD">
        <w:trPr>
          <w:trHeight w:val="33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D9F6B8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DACEA8" w14:textId="77777777" w:rsidR="006C177E" w:rsidRPr="00DB7E7A" w:rsidRDefault="006C177E" w:rsidP="00291FDD">
            <w:pPr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  <w:lang w:val="de-CH"/>
              </w:rPr>
              <w:t>Vendime për lejimin e ndërrimit të destinimit të njësisë së ndërtesës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6C664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C177E" w:rsidRPr="00DB7E7A" w14:paraId="2615CB86" w14:textId="77777777" w:rsidTr="00291FDD">
        <w:trPr>
          <w:trHeight w:val="33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D583C4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2CC721" w14:textId="77777777" w:rsidR="006C177E" w:rsidRPr="00DB7E7A" w:rsidRDefault="006C177E" w:rsidP="00291FDD">
            <w:pPr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  <w:lang w:val="de-CH"/>
              </w:rPr>
              <w:t>Vendime për zgjatjen e vlefshmëris së akteve administrative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FF70F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6C177E" w:rsidRPr="00DB7E7A" w14:paraId="174DF6F1" w14:textId="77777777" w:rsidTr="00291FDD">
        <w:trPr>
          <w:trHeight w:val="33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2D9BB0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BA77C4" w14:textId="77777777" w:rsidR="006C177E" w:rsidRPr="00DB7E7A" w:rsidRDefault="006C177E" w:rsidP="00291FDD">
            <w:pPr>
              <w:rPr>
                <w:rFonts w:ascii="Times New Roman" w:hAnsi="Times New Roman" w:cs="Times New Roman"/>
                <w:color w:val="000000"/>
                <w:lang w:val="de-CH"/>
              </w:rPr>
            </w:pPr>
            <w:r w:rsidRPr="00DB7E7A">
              <w:rPr>
                <w:rFonts w:ascii="Times New Roman" w:hAnsi="Times New Roman" w:cs="Times New Roman"/>
                <w:color w:val="000000"/>
                <w:lang w:val="de-CH"/>
              </w:rPr>
              <w:t>Vendime për shtyrjen e vlefshmerisë së akteve administrative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18953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C177E" w:rsidRPr="00DB7E7A" w14:paraId="6E28B09D" w14:textId="77777777" w:rsidTr="00291FDD">
        <w:trPr>
          <w:trHeight w:val="33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074176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671167" w14:textId="77777777" w:rsidR="006C177E" w:rsidRPr="00DB7E7A" w:rsidRDefault="006C177E" w:rsidP="00291FDD">
            <w:pPr>
              <w:rPr>
                <w:rFonts w:ascii="Times New Roman" w:hAnsi="Times New Roman" w:cs="Times New Roman"/>
                <w:color w:val="000000"/>
                <w:lang w:val="de-CH"/>
              </w:rPr>
            </w:pPr>
            <w:r w:rsidRPr="00DB7E7A">
              <w:rPr>
                <w:rFonts w:ascii="Times New Roman" w:hAnsi="Times New Roman" w:cs="Times New Roman"/>
                <w:color w:val="000000"/>
                <w:lang w:val="de-CH"/>
              </w:rPr>
              <w:t>Vendime për emërimin e komisioneve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36579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6C177E" w:rsidRPr="00DB7E7A" w14:paraId="4CE0C6F4" w14:textId="77777777" w:rsidTr="00291FDD">
        <w:trPr>
          <w:trHeight w:val="33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0C7930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91ED8C" w14:textId="77777777" w:rsidR="006C177E" w:rsidRPr="00DB7E7A" w:rsidRDefault="006C177E" w:rsidP="00291FDD">
            <w:pPr>
              <w:rPr>
                <w:rFonts w:ascii="Times New Roman" w:hAnsi="Times New Roman" w:cs="Times New Roman"/>
                <w:color w:val="000000"/>
                <w:lang w:val="de-CH"/>
              </w:rPr>
            </w:pPr>
            <w:r w:rsidRPr="00DB7E7A">
              <w:rPr>
                <w:rFonts w:ascii="Times New Roman" w:hAnsi="Times New Roman" w:cs="Times New Roman"/>
                <w:color w:val="000000"/>
                <w:lang w:val="de-CH"/>
              </w:rPr>
              <w:t>Vendime për ndryshimin e emrit të poseduesit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2D5CB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6C177E" w:rsidRPr="00DB7E7A" w14:paraId="23EE1891" w14:textId="77777777" w:rsidTr="00291FDD">
        <w:trPr>
          <w:trHeight w:val="33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3D624B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F0C76A" w14:textId="77777777" w:rsidR="006C177E" w:rsidRPr="00DB7E7A" w:rsidRDefault="006C177E" w:rsidP="00291FDD">
            <w:pPr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  <w:lang w:val="de-CH"/>
              </w:rPr>
              <w:t xml:space="preserve">Vendime për pezullimin e procedurës administrative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F0420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6C177E" w:rsidRPr="00DB7E7A" w14:paraId="04CBEFD0" w14:textId="77777777" w:rsidTr="00291FDD">
        <w:trPr>
          <w:trHeight w:val="33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313D75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0F6F9E" w14:textId="77777777" w:rsidR="006C177E" w:rsidRPr="00DB7E7A" w:rsidRDefault="006C177E" w:rsidP="00291FDD">
            <w:pPr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  <w:lang w:val="de-CH"/>
              </w:rPr>
              <w:t>Vendime refuzimi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9F07D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6C177E" w:rsidRPr="00DB7E7A" w14:paraId="073741BE" w14:textId="77777777" w:rsidTr="00291FDD">
        <w:trPr>
          <w:trHeight w:val="33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BBB08B" w14:textId="77777777" w:rsidR="006C177E" w:rsidRPr="00DB7E7A" w:rsidRDefault="006C177E" w:rsidP="00291FDD">
            <w:pPr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 xml:space="preserve"> 17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707DE5" w14:textId="77777777" w:rsidR="006C177E" w:rsidRPr="00DB7E7A" w:rsidRDefault="006C177E" w:rsidP="00291FDD">
            <w:pPr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 xml:space="preserve">Vendime për emërtimin e komisioneve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A72E9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6C177E" w:rsidRPr="00DB7E7A" w14:paraId="0D131B82" w14:textId="77777777" w:rsidTr="00291FDD">
        <w:trPr>
          <w:trHeight w:val="33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E1DB7B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ADE623" w14:textId="77777777" w:rsidR="006C177E" w:rsidRPr="00DB7E7A" w:rsidRDefault="006C177E" w:rsidP="00291FDD">
            <w:pPr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Pëlqime parimore për vendosjen e paneleve solare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28849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6C177E" w:rsidRPr="00DB7E7A" w14:paraId="3A22D844" w14:textId="77777777" w:rsidTr="00291FDD">
        <w:trPr>
          <w:trHeight w:val="33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130C8A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D4DA75" w14:textId="77777777" w:rsidR="006C177E" w:rsidRPr="00DB7E7A" w:rsidRDefault="006C177E" w:rsidP="00291FDD">
            <w:pPr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Pëlqime për parcelim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D898D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95</w:t>
            </w:r>
          </w:p>
        </w:tc>
      </w:tr>
      <w:tr w:rsidR="006C177E" w:rsidRPr="00DB7E7A" w14:paraId="7F81E859" w14:textId="77777777" w:rsidTr="00291FDD">
        <w:trPr>
          <w:trHeight w:val="33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CF6DDC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B683DC" w14:textId="77777777" w:rsidR="006C177E" w:rsidRPr="00DB7E7A" w:rsidRDefault="006C177E" w:rsidP="00291FDD">
            <w:pPr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Pëlqim parimor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D8130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C177E" w:rsidRPr="00DB7E7A" w14:paraId="471EC312" w14:textId="77777777" w:rsidTr="00291FDD">
        <w:trPr>
          <w:trHeight w:val="33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BB9D56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8FC195" w14:textId="77777777" w:rsidR="006C177E" w:rsidRPr="00DB7E7A" w:rsidRDefault="006C177E" w:rsidP="00291FDD">
            <w:pPr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Pëlqim për shëndërrimin e tokës bujësore në tokë ndërtimore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26D10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C177E" w:rsidRPr="00DB7E7A" w14:paraId="351C2CC5" w14:textId="77777777" w:rsidTr="00291FDD">
        <w:trPr>
          <w:trHeight w:val="33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2E7597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61D27C" w14:textId="77777777" w:rsidR="006C177E" w:rsidRPr="00DB7E7A" w:rsidRDefault="006C177E" w:rsidP="00291FDD">
            <w:pPr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 xml:space="preserve">Ekstrakte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4B479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84</w:t>
            </w:r>
          </w:p>
        </w:tc>
      </w:tr>
      <w:tr w:rsidR="006C177E" w:rsidRPr="00DB7E7A" w14:paraId="031DAA65" w14:textId="77777777" w:rsidTr="00291FDD">
        <w:trPr>
          <w:trHeight w:val="33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EE5EDC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B9C783" w14:textId="77777777" w:rsidR="006C177E" w:rsidRPr="00DB7E7A" w:rsidRDefault="006C177E" w:rsidP="00291FDD">
            <w:pPr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Njoftime, lidhur me prezantimin e dokumentacionit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798CC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197</w:t>
            </w:r>
          </w:p>
        </w:tc>
      </w:tr>
      <w:tr w:rsidR="006C177E" w:rsidRPr="00DB7E7A" w14:paraId="15D8BF1E" w14:textId="77777777" w:rsidTr="00291FDD">
        <w:trPr>
          <w:trHeight w:val="33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1EA7D4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194044" w14:textId="77777777" w:rsidR="006C177E" w:rsidRPr="00DB7E7A" w:rsidRDefault="006C177E" w:rsidP="00291FDD">
            <w:pPr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Konfirmime mbi pranimin e shkresave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34FCA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6C177E" w:rsidRPr="00DB7E7A" w14:paraId="54565723" w14:textId="77777777" w:rsidTr="00291FDD">
        <w:trPr>
          <w:trHeight w:val="33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28A75C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A93683" w14:textId="77777777" w:rsidR="006C177E" w:rsidRPr="00DB7E7A" w:rsidRDefault="006C177E" w:rsidP="00291FDD">
            <w:pPr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Përgjigjie në kërkesë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CFB02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6C177E" w:rsidRPr="00DB7E7A" w14:paraId="550F2BD4" w14:textId="77777777" w:rsidTr="00291FDD">
        <w:trPr>
          <w:trHeight w:val="33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59CAA3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lastRenderedPageBreak/>
              <w:t>25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BF786E" w14:textId="77777777" w:rsidR="006C177E" w:rsidRPr="00DB7E7A" w:rsidRDefault="006C177E" w:rsidP="00291FDD">
            <w:pPr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Përgjigjie në kundërshtim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BC3B2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6C177E" w:rsidRPr="00DB7E7A" w14:paraId="195102E3" w14:textId="77777777" w:rsidTr="00291FDD">
        <w:trPr>
          <w:trHeight w:val="33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113C46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4212F0" w14:textId="77777777" w:rsidR="006C177E" w:rsidRPr="00DB7E7A" w:rsidRDefault="006C177E" w:rsidP="00291FDD">
            <w:pPr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Përgjigjie në ankesë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D3BEE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6C177E" w:rsidRPr="00DB7E7A" w14:paraId="081DE851" w14:textId="77777777" w:rsidTr="00291FDD">
        <w:trPr>
          <w:trHeight w:val="33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E887BE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AC7697" w14:textId="77777777" w:rsidR="006C177E" w:rsidRPr="00DB7E7A" w:rsidRDefault="006C177E" w:rsidP="00291FDD">
            <w:pPr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Përgjigje në kërkesa për qasje në dokumente publike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E4E47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6C177E" w:rsidRPr="00DB7E7A" w14:paraId="5B7F55AB" w14:textId="77777777" w:rsidTr="00291FDD">
        <w:trPr>
          <w:trHeight w:val="33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661BD3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467AE5" w14:textId="77777777" w:rsidR="006C177E" w:rsidRPr="00DB7E7A" w:rsidRDefault="006C177E" w:rsidP="00291FDD">
            <w:pPr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Dërgim i lëndës për shkak të jo kompetencës, organit kompetent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565CD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6C177E" w:rsidRPr="00DB7E7A" w14:paraId="713D907D" w14:textId="77777777" w:rsidTr="00291FDD">
        <w:trPr>
          <w:trHeight w:val="33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6660D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85CDE5" w14:textId="77777777" w:rsidR="006C177E" w:rsidRPr="00DB7E7A" w:rsidRDefault="006C177E" w:rsidP="00291FDD">
            <w:pPr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Dërgim i lëndës për shkak të jo kompetencës, parashtruesit të kërkesës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8CDD6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C177E" w:rsidRPr="00DB7E7A" w14:paraId="39CB17AB" w14:textId="77777777" w:rsidTr="00291FDD">
        <w:trPr>
          <w:trHeight w:val="33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DCEE17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A6CABC" w14:textId="77777777" w:rsidR="006C177E" w:rsidRPr="00DB7E7A" w:rsidRDefault="006C177E" w:rsidP="00291FDD">
            <w:pPr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Dërgim i ankesës me shkresa përcjellëse në MMPH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C7B17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C177E" w:rsidRPr="00DB7E7A" w14:paraId="001C30BE" w14:textId="77777777" w:rsidTr="00291FDD">
        <w:trPr>
          <w:trHeight w:val="33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57CDB1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7ADF96" w14:textId="77777777" w:rsidR="006C177E" w:rsidRPr="00DB7E7A" w:rsidRDefault="006C177E" w:rsidP="00291FDD">
            <w:pPr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Referenca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040A1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6C177E" w:rsidRPr="00DB7E7A" w14:paraId="1913F137" w14:textId="77777777" w:rsidTr="00291FDD">
        <w:trPr>
          <w:trHeight w:val="33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868ABE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856AD3" w14:textId="77777777" w:rsidR="006C177E" w:rsidRPr="00DB7E7A" w:rsidRDefault="006C177E" w:rsidP="00291FDD">
            <w:pPr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Kërkesa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FF3AC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6C177E" w:rsidRPr="00DB7E7A" w14:paraId="62759B2A" w14:textId="77777777" w:rsidTr="00291FDD">
        <w:trPr>
          <w:trHeight w:val="33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199BC1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790D9C" w14:textId="77777777" w:rsidR="006C177E" w:rsidRPr="00DB7E7A" w:rsidRDefault="006C177E" w:rsidP="00291FDD">
            <w:pPr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Njoftime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BF2FD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57</w:t>
            </w:r>
          </w:p>
        </w:tc>
      </w:tr>
      <w:tr w:rsidR="006C177E" w:rsidRPr="00DB7E7A" w14:paraId="077EC4F1" w14:textId="77777777" w:rsidTr="00291FDD">
        <w:trPr>
          <w:trHeight w:val="33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CE907E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8A23BE" w14:textId="77777777" w:rsidR="006C177E" w:rsidRPr="00DB7E7A" w:rsidRDefault="006C177E" w:rsidP="00291FDD">
            <w:pPr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eastAsia="Times New Roman" w:hAnsi="Times New Roman" w:cs="Times New Roman"/>
                <w:color w:val="000000"/>
              </w:rPr>
              <w:t>Vërtetime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9EE11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C177E" w:rsidRPr="00DB7E7A" w14:paraId="32686C50" w14:textId="77777777" w:rsidTr="00291FDD">
        <w:trPr>
          <w:trHeight w:val="33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55FEF6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22D9B0" w14:textId="77777777" w:rsidR="006C177E" w:rsidRPr="00DB7E7A" w:rsidRDefault="006C177E" w:rsidP="00291FDD">
            <w:pPr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eastAsia="Times New Roman" w:hAnsi="Times New Roman" w:cs="Times New Roman"/>
                <w:color w:val="000000"/>
              </w:rPr>
              <w:t>Autorizime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6293A" w14:textId="77777777" w:rsidR="006C177E" w:rsidRPr="00DB7E7A" w:rsidRDefault="006C177E" w:rsidP="00291F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 xml:space="preserve">      4</w:t>
            </w:r>
          </w:p>
        </w:tc>
      </w:tr>
      <w:tr w:rsidR="006C177E" w:rsidRPr="00DB7E7A" w14:paraId="5818E914" w14:textId="77777777" w:rsidTr="00291FDD">
        <w:trPr>
          <w:trHeight w:val="33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101586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169510" w14:textId="77777777" w:rsidR="006C177E" w:rsidRPr="00DB7E7A" w:rsidRDefault="006C177E" w:rsidP="00291FD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B7E7A">
              <w:rPr>
                <w:rFonts w:ascii="Times New Roman" w:eastAsia="Times New Roman" w:hAnsi="Times New Roman" w:cs="Times New Roman"/>
                <w:color w:val="000000"/>
              </w:rPr>
              <w:t>Informata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1697D" w14:textId="77777777" w:rsidR="006C177E" w:rsidRPr="00DB7E7A" w:rsidRDefault="006C177E" w:rsidP="00291F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 xml:space="preserve">    8</w:t>
            </w:r>
          </w:p>
        </w:tc>
      </w:tr>
      <w:tr w:rsidR="006C177E" w:rsidRPr="00DB7E7A" w14:paraId="1621EA93" w14:textId="77777777" w:rsidTr="00291FDD">
        <w:trPr>
          <w:trHeight w:val="33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B28A18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688ECA" w14:textId="77777777" w:rsidR="006C177E" w:rsidRPr="00DB7E7A" w:rsidRDefault="006C177E" w:rsidP="00291FD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B7E7A">
              <w:rPr>
                <w:rFonts w:ascii="Times New Roman" w:eastAsia="Times New Roman" w:hAnsi="Times New Roman" w:cs="Times New Roman"/>
                <w:color w:val="000000"/>
              </w:rPr>
              <w:t>Informata nga SP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AAD94" w14:textId="77777777" w:rsidR="006C177E" w:rsidRPr="00DB7E7A" w:rsidRDefault="006C177E" w:rsidP="00291F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 xml:space="preserve">  15</w:t>
            </w:r>
          </w:p>
        </w:tc>
      </w:tr>
      <w:tr w:rsidR="006C177E" w:rsidRPr="00DB7E7A" w14:paraId="2DCAEE52" w14:textId="77777777" w:rsidTr="00291FDD">
        <w:trPr>
          <w:trHeight w:val="6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0BAC8" w14:textId="77777777" w:rsidR="006C177E" w:rsidRPr="00DB7E7A" w:rsidRDefault="006C177E" w:rsidP="00291FDD">
            <w:pPr>
              <w:rPr>
                <w:rFonts w:ascii="Times New Roman" w:hAnsi="Times New Roman" w:cs="Times New Roman"/>
                <w:color w:val="000000"/>
              </w:rPr>
            </w:pPr>
            <w:r w:rsidRPr="00DB7E7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A5909" w14:textId="77777777" w:rsidR="006C177E" w:rsidRPr="00DB7E7A" w:rsidRDefault="006C177E" w:rsidP="00291FD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B7E7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Gjithsej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6198" w14:textId="77777777" w:rsidR="006C177E" w:rsidRPr="00DB7E7A" w:rsidRDefault="006C177E" w:rsidP="00291FDD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DB7E7A">
              <w:rPr>
                <w:rFonts w:ascii="Times New Roman" w:hAnsi="Times New Roman" w:cs="Times New Roman"/>
                <w:b/>
                <w:color w:val="000000"/>
              </w:rPr>
              <w:t>1367</w:t>
            </w:r>
          </w:p>
        </w:tc>
      </w:tr>
    </w:tbl>
    <w:p w14:paraId="5D257B0E" w14:textId="77777777" w:rsidR="006C177E" w:rsidRPr="00DB7E7A" w:rsidRDefault="006C177E" w:rsidP="006C177E">
      <w:pPr>
        <w:spacing w:line="276" w:lineRule="auto"/>
        <w:jc w:val="both"/>
        <w:rPr>
          <w:rFonts w:ascii="Times New Roman" w:hAnsi="Times New Roman" w:cs="Times New Roman"/>
        </w:rPr>
      </w:pPr>
    </w:p>
    <w:p w14:paraId="01EEBBEE" w14:textId="77777777" w:rsidR="002C14DF" w:rsidRDefault="002C14DF" w:rsidP="006A2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C45E5" w14:textId="77777777" w:rsidR="008B4B66" w:rsidRDefault="008B4B66" w:rsidP="008B4B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2F1AF5" w14:textId="77777777" w:rsidR="00AE29F0" w:rsidRDefault="00AE29F0" w:rsidP="008B4B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63252C" w14:textId="77777777" w:rsidR="00AE29F0" w:rsidRDefault="00AE29F0" w:rsidP="008B4B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F28F70" w14:textId="77777777" w:rsidR="00AE29F0" w:rsidRDefault="00AE29F0" w:rsidP="008B4B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A97AD" w14:textId="77777777" w:rsidR="00AE29F0" w:rsidRDefault="00AE29F0" w:rsidP="008B4B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3C372" w14:textId="77777777" w:rsidR="00AE29F0" w:rsidRDefault="00AE29F0" w:rsidP="008B4B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7F00CC" w14:textId="77777777" w:rsidR="00AE29F0" w:rsidRDefault="00AE29F0" w:rsidP="008B4B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2C5907" w14:textId="77777777" w:rsidR="00AE29F0" w:rsidRDefault="00AE29F0" w:rsidP="008B4B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F6F60C" w14:textId="77777777" w:rsidR="00AE29F0" w:rsidRDefault="00AE29F0" w:rsidP="008B4B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13CD3B" w14:textId="77777777" w:rsidR="00AE29F0" w:rsidRPr="003043C0" w:rsidRDefault="00AE29F0" w:rsidP="008B4B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F565E" w14:textId="77777777" w:rsidR="004E3AC3" w:rsidRDefault="004E3AC3" w:rsidP="008B4B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39869" w14:textId="77777777" w:rsidR="004E3AC3" w:rsidRDefault="004E3AC3" w:rsidP="008B4B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D39BB" w14:textId="77777777" w:rsidR="004E3AC3" w:rsidRDefault="004E3AC3" w:rsidP="008B4B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C3F79" w14:textId="77777777" w:rsidR="004E3AC3" w:rsidRDefault="004E3AC3" w:rsidP="008B4B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023104" w14:textId="2CF18639" w:rsidR="008B4B66" w:rsidRPr="003043C0" w:rsidRDefault="008B4B66" w:rsidP="008B4B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C0">
        <w:rPr>
          <w:rFonts w:ascii="Times New Roman" w:hAnsi="Times New Roman" w:cs="Times New Roman"/>
          <w:sz w:val="24"/>
          <w:szCs w:val="24"/>
        </w:rPr>
        <w:lastRenderedPageBreak/>
        <w:t xml:space="preserve">Gjatë periudhës kohore, </w:t>
      </w:r>
      <w:r w:rsidRPr="003043C0">
        <w:rPr>
          <w:rFonts w:ascii="Times New Roman" w:hAnsi="Times New Roman" w:cs="Times New Roman"/>
          <w:b/>
          <w:sz w:val="24"/>
          <w:szCs w:val="24"/>
        </w:rPr>
        <w:t>01 janar 2024 – 31 dhjetor 2024</w:t>
      </w:r>
      <w:r w:rsidRPr="003043C0">
        <w:rPr>
          <w:rFonts w:ascii="Times New Roman" w:hAnsi="Times New Roman" w:cs="Times New Roman"/>
          <w:sz w:val="24"/>
          <w:szCs w:val="24"/>
        </w:rPr>
        <w:t xml:space="preserve">, Drejtoria për Urbanizëm, Planifikim dhe Mbrojtje të Mjedisit, ka punuar gjithsej </w:t>
      </w:r>
      <w:r w:rsidRPr="003043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1367 </w:t>
      </w:r>
      <w:r w:rsidRPr="003043C0">
        <w:rPr>
          <w:rFonts w:ascii="Times New Roman" w:hAnsi="Times New Roman" w:cs="Times New Roman"/>
          <w:sz w:val="24"/>
          <w:szCs w:val="24"/>
        </w:rPr>
        <w:t xml:space="preserve">akte, ndërsa në vitin paraprak nga data </w:t>
      </w:r>
      <w:r w:rsidRPr="003043C0">
        <w:rPr>
          <w:rFonts w:ascii="Times New Roman" w:hAnsi="Times New Roman" w:cs="Times New Roman"/>
          <w:b/>
          <w:sz w:val="24"/>
          <w:szCs w:val="24"/>
        </w:rPr>
        <w:t>01 janar 2023 deri 31 dhjetor 2023,</w:t>
      </w:r>
      <w:r w:rsidRPr="003043C0">
        <w:rPr>
          <w:rFonts w:ascii="Times New Roman" w:hAnsi="Times New Roman" w:cs="Times New Roman"/>
          <w:sz w:val="24"/>
          <w:szCs w:val="24"/>
        </w:rPr>
        <w:t xml:space="preserve"> kjo drejtori ka punuar gjithsej </w:t>
      </w:r>
      <w:r w:rsidRPr="003043C0">
        <w:rPr>
          <w:rFonts w:ascii="Times New Roman" w:hAnsi="Times New Roman" w:cs="Times New Roman"/>
          <w:b/>
          <w:sz w:val="24"/>
          <w:szCs w:val="24"/>
        </w:rPr>
        <w:t>1544 akte</w:t>
      </w:r>
      <w:r w:rsidRPr="003043C0">
        <w:rPr>
          <w:rFonts w:ascii="Times New Roman" w:hAnsi="Times New Roman" w:cs="Times New Roman"/>
          <w:sz w:val="24"/>
          <w:szCs w:val="24"/>
        </w:rPr>
        <w:t xml:space="preserve">. Krahasuar me periudhën raportuese të vitit paraprak, ky organ ka punuar </w:t>
      </w:r>
      <w:r w:rsidRPr="003043C0">
        <w:rPr>
          <w:rFonts w:ascii="Times New Roman" w:hAnsi="Times New Roman" w:cs="Times New Roman"/>
          <w:b/>
          <w:sz w:val="24"/>
          <w:szCs w:val="24"/>
        </w:rPr>
        <w:t>177 akte më pak se në vitin 2023</w:t>
      </w:r>
      <w:r w:rsidRPr="003043C0">
        <w:rPr>
          <w:rFonts w:ascii="Times New Roman" w:hAnsi="Times New Roman" w:cs="Times New Roman"/>
          <w:sz w:val="24"/>
          <w:szCs w:val="24"/>
        </w:rPr>
        <w:t xml:space="preserve">, e që shprehur në përqindje është </w:t>
      </w:r>
      <w:r w:rsidRPr="003043C0">
        <w:rPr>
          <w:rFonts w:ascii="Times New Roman" w:hAnsi="Times New Roman" w:cs="Times New Roman"/>
          <w:b/>
          <w:sz w:val="24"/>
          <w:szCs w:val="24"/>
        </w:rPr>
        <w:t xml:space="preserve">88.54%. Ky dallim ka ndodh nga fakti se në vitin 2023 </w:t>
      </w:r>
      <w:r w:rsidRPr="00D86156">
        <w:rPr>
          <w:rFonts w:ascii="Times New Roman" w:hAnsi="Times New Roman" w:cs="Times New Roman"/>
          <w:bCs/>
          <w:sz w:val="24"/>
          <w:szCs w:val="24"/>
        </w:rPr>
        <w:t>jan</w:t>
      </w:r>
      <w:r w:rsidRPr="003043C0">
        <w:rPr>
          <w:rFonts w:ascii="Times New Roman" w:hAnsi="Times New Roman" w:cs="Times New Roman"/>
          <w:sz w:val="24"/>
          <w:szCs w:val="24"/>
        </w:rPr>
        <w:t>ë trajtuar edhe një numër i ma</w:t>
      </w:r>
      <w:r w:rsidR="00913AAB">
        <w:rPr>
          <w:rFonts w:ascii="Times New Roman" w:hAnsi="Times New Roman" w:cs="Times New Roman"/>
          <w:sz w:val="24"/>
          <w:szCs w:val="24"/>
        </w:rPr>
        <w:t xml:space="preserve">dh i kërkesasave të patrajtuara </w:t>
      </w:r>
      <w:r w:rsidRPr="003043C0">
        <w:rPr>
          <w:rFonts w:ascii="Times New Roman" w:hAnsi="Times New Roman" w:cs="Times New Roman"/>
          <w:sz w:val="24"/>
          <w:szCs w:val="24"/>
        </w:rPr>
        <w:t>nga gjithsej</w:t>
      </w:r>
      <w:r w:rsidR="00D86156">
        <w:rPr>
          <w:rFonts w:ascii="Times New Roman" w:hAnsi="Times New Roman" w:cs="Times New Roman"/>
          <w:sz w:val="24"/>
          <w:szCs w:val="24"/>
        </w:rPr>
        <w:t xml:space="preserve"> </w:t>
      </w:r>
      <w:r w:rsidRPr="003043C0">
        <w:rPr>
          <w:rFonts w:ascii="Times New Roman" w:hAnsi="Times New Roman" w:cs="Times New Roman"/>
          <w:sz w:val="24"/>
          <w:szCs w:val="24"/>
        </w:rPr>
        <w:t>1279,</w:t>
      </w:r>
      <w:r w:rsidR="00D86156">
        <w:rPr>
          <w:rFonts w:ascii="Times New Roman" w:hAnsi="Times New Roman" w:cs="Times New Roman"/>
          <w:sz w:val="24"/>
          <w:szCs w:val="24"/>
        </w:rPr>
        <w:t xml:space="preserve"> </w:t>
      </w:r>
      <w:r w:rsidRPr="003043C0">
        <w:rPr>
          <w:rFonts w:ascii="Times New Roman" w:hAnsi="Times New Roman" w:cs="Times New Roman"/>
          <w:sz w:val="24"/>
          <w:szCs w:val="24"/>
        </w:rPr>
        <w:t>të grumbulluara gjatë viteve 2019, 2020</w:t>
      </w:r>
      <w:r w:rsidR="00D86156">
        <w:rPr>
          <w:rFonts w:ascii="Times New Roman" w:hAnsi="Times New Roman" w:cs="Times New Roman"/>
          <w:sz w:val="24"/>
          <w:szCs w:val="24"/>
        </w:rPr>
        <w:t xml:space="preserve"> </w:t>
      </w:r>
      <w:r w:rsidRPr="003043C0">
        <w:rPr>
          <w:rFonts w:ascii="Times New Roman" w:hAnsi="Times New Roman" w:cs="Times New Roman"/>
          <w:sz w:val="24"/>
          <w:szCs w:val="24"/>
        </w:rPr>
        <w:t>dhe 2021</w:t>
      </w:r>
      <w:r w:rsidR="00D86156">
        <w:rPr>
          <w:rFonts w:ascii="Times New Roman" w:hAnsi="Times New Roman" w:cs="Times New Roman"/>
          <w:sz w:val="24"/>
          <w:szCs w:val="24"/>
        </w:rPr>
        <w:t>,</w:t>
      </w:r>
      <w:r w:rsidRPr="003043C0">
        <w:rPr>
          <w:rFonts w:ascii="Times New Roman" w:hAnsi="Times New Roman" w:cs="Times New Roman"/>
          <w:sz w:val="24"/>
          <w:szCs w:val="24"/>
        </w:rPr>
        <w:t xml:space="preserve"> gjatë qeverisjes së kaluar. </w:t>
      </w:r>
    </w:p>
    <w:p w14:paraId="22E341AD" w14:textId="77777777" w:rsidR="008B4B66" w:rsidRDefault="008B4B66" w:rsidP="008B4B6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5B5621" w14:textId="090F275C" w:rsidR="008B4B66" w:rsidRDefault="003043C0" w:rsidP="008B4B6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2565A068" wp14:editId="3DCFF516">
            <wp:extent cx="5570220" cy="3688080"/>
            <wp:effectExtent l="0" t="0" r="11430" b="7620"/>
            <wp:docPr id="11285859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7E421DD-BE30-874A-3C8F-AE2D34F7489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203E004" w14:textId="77777777" w:rsidR="002C14DF" w:rsidRDefault="002C14DF" w:rsidP="006A2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5E3DA" w14:textId="77777777" w:rsidR="002C14DF" w:rsidRDefault="002C14DF" w:rsidP="006A2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65604" w14:textId="77777777" w:rsidR="00AE29F0" w:rsidRDefault="00AE29F0" w:rsidP="006A2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BD743" w14:textId="77777777" w:rsidR="00AE29F0" w:rsidRDefault="00AE29F0" w:rsidP="006A2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8B511B" w14:textId="77777777" w:rsidR="00AE29F0" w:rsidRDefault="00AE29F0" w:rsidP="006A2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1D347A" w14:textId="77777777" w:rsidR="00AE29F0" w:rsidRDefault="00AE29F0" w:rsidP="006A2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E11FD1" w14:textId="77777777" w:rsidR="00AE29F0" w:rsidRDefault="00AE29F0" w:rsidP="006A2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27DF9" w14:textId="77777777" w:rsidR="00856BB5" w:rsidRDefault="00856BB5" w:rsidP="006A2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358DBB" w14:textId="77777777" w:rsidR="00AE29F0" w:rsidRDefault="00AE29F0" w:rsidP="006A2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A62309" w14:textId="77777777" w:rsidR="00AE29F0" w:rsidRDefault="00AE29F0" w:rsidP="006A2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FFE6C0" w14:textId="77777777" w:rsidR="00AE29F0" w:rsidRDefault="00AE29F0" w:rsidP="006A2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1A5C99" w14:textId="77777777" w:rsidR="00AE29F0" w:rsidRDefault="00AE29F0" w:rsidP="006A2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F148C4" w14:textId="77777777" w:rsidR="00E07E6F" w:rsidRDefault="00E07E6F" w:rsidP="006A2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5F5494" w14:textId="77777777" w:rsidR="004E3AC3" w:rsidRDefault="004E3AC3" w:rsidP="006A2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837304" w14:textId="77777777" w:rsidR="004E3AC3" w:rsidRDefault="004E3AC3" w:rsidP="006A2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38CAF" w14:textId="77777777" w:rsidR="004E3AC3" w:rsidRDefault="004E3AC3" w:rsidP="006A2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C9749E" w14:textId="77777777" w:rsidR="004E3AC3" w:rsidRDefault="004E3AC3" w:rsidP="006A2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813789" w14:textId="37D90CB6" w:rsidR="00D137E4" w:rsidRPr="003043C0" w:rsidRDefault="00DC7DD5" w:rsidP="006A2F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3C0">
        <w:rPr>
          <w:rFonts w:ascii="Times New Roman" w:hAnsi="Times New Roman" w:cs="Times New Roman"/>
          <w:sz w:val="24"/>
          <w:szCs w:val="24"/>
        </w:rPr>
        <w:lastRenderedPageBreak/>
        <w:t xml:space="preserve">Gjithashtu, gjatë kësaj periudhe të raportimit, ky organ ka pranuar </w:t>
      </w:r>
      <w:r w:rsidRPr="003043C0">
        <w:rPr>
          <w:rFonts w:ascii="Times New Roman" w:hAnsi="Times New Roman" w:cs="Times New Roman"/>
          <w:b/>
          <w:sz w:val="24"/>
          <w:szCs w:val="24"/>
        </w:rPr>
        <w:t>për shqyrtim</w:t>
      </w:r>
      <w:r w:rsidR="008B4B66" w:rsidRPr="003043C0">
        <w:rPr>
          <w:rFonts w:ascii="Times New Roman" w:hAnsi="Times New Roman" w:cs="Times New Roman"/>
          <w:b/>
          <w:sz w:val="24"/>
          <w:szCs w:val="24"/>
        </w:rPr>
        <w:t xml:space="preserve"> 999</w:t>
      </w:r>
      <w:r w:rsidR="00186819" w:rsidRPr="003043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43C0">
        <w:rPr>
          <w:rFonts w:ascii="Times New Roman" w:hAnsi="Times New Roman" w:cs="Times New Roman"/>
          <w:b/>
          <w:sz w:val="24"/>
          <w:szCs w:val="24"/>
        </w:rPr>
        <w:t>kërkesa</w:t>
      </w:r>
      <w:r w:rsidR="00E07E6F" w:rsidRPr="003043C0">
        <w:rPr>
          <w:rFonts w:ascii="Times New Roman" w:hAnsi="Times New Roman" w:cs="Times New Roman"/>
          <w:sz w:val="24"/>
          <w:szCs w:val="24"/>
        </w:rPr>
        <w:t xml:space="preserve">, ndërsa, si </w:t>
      </w:r>
      <w:r w:rsidR="00186819" w:rsidRPr="003043C0">
        <w:rPr>
          <w:rFonts w:ascii="Times New Roman" w:hAnsi="Times New Roman" w:cs="Times New Roman"/>
          <w:sz w:val="24"/>
          <w:szCs w:val="24"/>
        </w:rPr>
        <w:t>është cekur më lartë</w:t>
      </w:r>
      <w:r w:rsidR="00E07E6F" w:rsidRPr="003043C0">
        <w:rPr>
          <w:rFonts w:ascii="Times New Roman" w:hAnsi="Times New Roman" w:cs="Times New Roman"/>
          <w:sz w:val="24"/>
          <w:szCs w:val="24"/>
        </w:rPr>
        <w:t>,</w:t>
      </w:r>
      <w:r w:rsidRPr="003043C0">
        <w:rPr>
          <w:rFonts w:ascii="Times New Roman" w:hAnsi="Times New Roman" w:cs="Times New Roman"/>
          <w:sz w:val="24"/>
          <w:szCs w:val="24"/>
        </w:rPr>
        <w:t xml:space="preserve">ka </w:t>
      </w:r>
      <w:r w:rsidR="007A5A5C" w:rsidRPr="003043C0">
        <w:rPr>
          <w:rFonts w:ascii="Times New Roman" w:hAnsi="Times New Roman" w:cs="Times New Roman"/>
          <w:sz w:val="24"/>
          <w:szCs w:val="24"/>
        </w:rPr>
        <w:t xml:space="preserve">punuar </w:t>
      </w:r>
      <w:r w:rsidR="008B4B66" w:rsidRPr="003043C0">
        <w:rPr>
          <w:rFonts w:ascii="Times New Roman" w:hAnsi="Times New Roman" w:cs="Times New Roman"/>
          <w:b/>
          <w:color w:val="000000"/>
          <w:sz w:val="24"/>
          <w:szCs w:val="24"/>
        </w:rPr>
        <w:t>1367</w:t>
      </w:r>
      <w:r w:rsidR="00226358" w:rsidRPr="003043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451C" w:rsidRPr="003043C0">
        <w:rPr>
          <w:rFonts w:ascii="Times New Roman" w:hAnsi="Times New Roman" w:cs="Times New Roman"/>
          <w:sz w:val="24"/>
          <w:szCs w:val="24"/>
        </w:rPr>
        <w:t>akte. K</w:t>
      </w:r>
      <w:r w:rsidRPr="003043C0">
        <w:rPr>
          <w:rFonts w:ascii="Times New Roman" w:hAnsi="Times New Roman" w:cs="Times New Roman"/>
          <w:sz w:val="24"/>
          <w:szCs w:val="24"/>
        </w:rPr>
        <w:t>rahasuar me numrin e kërkesave</w:t>
      </w:r>
      <w:r w:rsidR="007A5A5C" w:rsidRPr="003043C0">
        <w:rPr>
          <w:rFonts w:ascii="Times New Roman" w:hAnsi="Times New Roman" w:cs="Times New Roman"/>
          <w:sz w:val="24"/>
          <w:szCs w:val="24"/>
        </w:rPr>
        <w:t xml:space="preserve"> të pranuara, ky organ </w:t>
      </w:r>
      <w:r w:rsidR="007A5A5C" w:rsidRPr="003043C0">
        <w:rPr>
          <w:rFonts w:ascii="Times New Roman" w:hAnsi="Times New Roman" w:cs="Times New Roman"/>
          <w:b/>
          <w:sz w:val="24"/>
          <w:szCs w:val="24"/>
        </w:rPr>
        <w:t xml:space="preserve">ka punuar </w:t>
      </w:r>
      <w:r w:rsidR="008B4B66" w:rsidRPr="003043C0">
        <w:rPr>
          <w:rFonts w:ascii="Times New Roman" w:hAnsi="Times New Roman" w:cs="Times New Roman"/>
          <w:b/>
          <w:sz w:val="24"/>
          <w:szCs w:val="24"/>
        </w:rPr>
        <w:t>368</w:t>
      </w:r>
      <w:r w:rsidRPr="003043C0">
        <w:rPr>
          <w:rFonts w:ascii="Times New Roman" w:hAnsi="Times New Roman" w:cs="Times New Roman"/>
          <w:b/>
          <w:sz w:val="24"/>
          <w:szCs w:val="24"/>
        </w:rPr>
        <w:t xml:space="preserve"> akte më shumë se sa ka pranuar</w:t>
      </w:r>
      <w:r w:rsidR="0063451C" w:rsidRPr="003043C0">
        <w:rPr>
          <w:rFonts w:ascii="Times New Roman" w:hAnsi="Times New Roman" w:cs="Times New Roman"/>
          <w:b/>
          <w:sz w:val="24"/>
          <w:szCs w:val="24"/>
        </w:rPr>
        <w:t xml:space="preserve"> kërkesa</w:t>
      </w:r>
      <w:r w:rsidRPr="003043C0">
        <w:rPr>
          <w:rFonts w:ascii="Times New Roman" w:hAnsi="Times New Roman" w:cs="Times New Roman"/>
          <w:b/>
          <w:sz w:val="24"/>
          <w:szCs w:val="24"/>
        </w:rPr>
        <w:t>, e që shprehu</w:t>
      </w:r>
      <w:r w:rsidR="00FC78C4" w:rsidRPr="003043C0">
        <w:rPr>
          <w:rFonts w:ascii="Times New Roman" w:hAnsi="Times New Roman" w:cs="Times New Roman"/>
          <w:b/>
          <w:sz w:val="24"/>
          <w:szCs w:val="24"/>
        </w:rPr>
        <w:t xml:space="preserve">r në përqindje është </w:t>
      </w:r>
      <w:r w:rsidR="008B4B66" w:rsidRPr="003043C0">
        <w:rPr>
          <w:rFonts w:ascii="Times New Roman" w:hAnsi="Times New Roman" w:cs="Times New Roman"/>
          <w:b/>
          <w:sz w:val="24"/>
          <w:szCs w:val="24"/>
        </w:rPr>
        <w:t>136.84</w:t>
      </w:r>
      <w:r w:rsidRPr="003043C0">
        <w:rPr>
          <w:rFonts w:ascii="Times New Roman" w:hAnsi="Times New Roman" w:cs="Times New Roman"/>
          <w:b/>
          <w:sz w:val="24"/>
          <w:szCs w:val="24"/>
        </w:rPr>
        <w:t>%.</w:t>
      </w:r>
    </w:p>
    <w:p w14:paraId="5D3C3C50" w14:textId="77777777" w:rsidR="00E07E6F" w:rsidRDefault="00E07E6F" w:rsidP="006A2F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70287C" w14:textId="77777777" w:rsidR="00E07E6F" w:rsidRDefault="00E07E6F" w:rsidP="006A2F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CDE367" w14:textId="77777777" w:rsidR="002C14DF" w:rsidRDefault="002C14DF" w:rsidP="006A2F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99D5C2" w14:textId="53132C5C" w:rsidR="002C14DF" w:rsidRDefault="003043C0" w:rsidP="006A2F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21999752" wp14:editId="0245D4A8">
            <wp:extent cx="5128260" cy="3535680"/>
            <wp:effectExtent l="0" t="0" r="15240" b="7620"/>
            <wp:docPr id="149543157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F3DC18C-F989-ACE3-D8EF-D9C41E8D1A7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8AA7089" w14:textId="7147ACA9" w:rsidR="00B974B4" w:rsidRDefault="00856BB5" w:rsidP="00D137E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3FC0CAB6" w14:textId="77777777" w:rsidR="00104829" w:rsidRDefault="00104829" w:rsidP="00D137E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66F4AB9" w14:textId="77777777" w:rsidR="00104829" w:rsidRDefault="00104829" w:rsidP="00D137E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6E6F57A" w14:textId="77777777" w:rsidR="00104829" w:rsidRDefault="00104829" w:rsidP="00D137E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EE1DF58" w14:textId="77777777" w:rsidR="00104829" w:rsidRDefault="00104829" w:rsidP="00D137E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E2F69B5" w14:textId="77777777" w:rsidR="00104829" w:rsidRDefault="00104829" w:rsidP="00D137E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FB15DAC" w14:textId="77777777" w:rsidR="00104829" w:rsidRDefault="00104829" w:rsidP="00D137E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583D044F" w14:textId="77777777" w:rsidR="00104829" w:rsidRDefault="00104829" w:rsidP="00D137E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FD8B3FD" w14:textId="77777777" w:rsidR="00104829" w:rsidRDefault="00104829" w:rsidP="00D137E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313D440" w14:textId="77777777" w:rsidR="00104829" w:rsidRDefault="00104829" w:rsidP="00D137E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268D5A3" w14:textId="77777777" w:rsidR="00104829" w:rsidRDefault="00104829" w:rsidP="00D137E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5E1C52E" w14:textId="77777777" w:rsidR="00104829" w:rsidRDefault="00104829" w:rsidP="00D137E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58D3909" w14:textId="77777777" w:rsidR="00104829" w:rsidRDefault="00104829" w:rsidP="00D137E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01B9358" w14:textId="77777777" w:rsidR="00104829" w:rsidRDefault="00104829" w:rsidP="00D137E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50667863" w14:textId="77777777" w:rsidR="00104829" w:rsidRDefault="00104829" w:rsidP="00D137E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5F013E5A" w14:textId="77777777" w:rsidR="00104829" w:rsidRDefault="00104829" w:rsidP="00D137E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33BAE2A" w14:textId="77777777" w:rsidR="00104829" w:rsidRDefault="00104829" w:rsidP="00D137E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51D4F6C6" w14:textId="77777777" w:rsidR="00104829" w:rsidRDefault="00104829" w:rsidP="00D137E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4DCEC6FF" w14:textId="77777777" w:rsidR="00104829" w:rsidRDefault="00104829" w:rsidP="00D137E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A70E18C" w14:textId="77777777" w:rsidR="00104829" w:rsidRDefault="00104829" w:rsidP="00D137E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5F7FC18C" w14:textId="77777777" w:rsidR="00104829" w:rsidRDefault="00104829" w:rsidP="00D137E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4BEE0112" w14:textId="77777777" w:rsidR="00104829" w:rsidRDefault="00104829" w:rsidP="00D137E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55949856" w14:textId="77777777" w:rsidR="00104829" w:rsidRDefault="00104829" w:rsidP="00D137E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DABF151" w14:textId="20A60F4B" w:rsidR="00FD3276" w:rsidRPr="004E3AC3" w:rsidRDefault="004E3AC3" w:rsidP="00D137E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Raporti për Sistemin e </w:t>
      </w:r>
      <w:r w:rsidR="00FD3276" w:rsidRPr="004E3AC3">
        <w:rPr>
          <w:rFonts w:ascii="Times New Roman" w:hAnsi="Times New Roman" w:cs="Times New Roman"/>
          <w:b/>
          <w:sz w:val="24"/>
          <w:szCs w:val="24"/>
        </w:rPr>
        <w:t>adresave</w:t>
      </w:r>
    </w:p>
    <w:p w14:paraId="6A4D0358" w14:textId="4A5F5147" w:rsidR="00104829" w:rsidRDefault="00104829" w:rsidP="00104829">
      <w:pPr>
        <w:pStyle w:val="BodyText"/>
        <w:ind w:left="132"/>
      </w:pPr>
      <w:r>
        <w:t>Në</w:t>
      </w:r>
      <w:r>
        <w:rPr>
          <w:spacing w:val="29"/>
        </w:rPr>
        <w:t xml:space="preserve"> </w:t>
      </w:r>
      <w:r>
        <w:t>Sistemin</w:t>
      </w:r>
      <w:r>
        <w:rPr>
          <w:spacing w:val="30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Adresave</w:t>
      </w:r>
      <w:r w:rsidR="004E3AC3">
        <w:rPr>
          <w:spacing w:val="31"/>
        </w:rPr>
        <w:t>,</w:t>
      </w:r>
      <w:r>
        <w:t>në</w:t>
      </w:r>
      <w:r>
        <w:rPr>
          <w:spacing w:val="29"/>
        </w:rPr>
        <w:t xml:space="preserve"> </w:t>
      </w:r>
      <w:r>
        <w:t>programin</w:t>
      </w:r>
      <w:r>
        <w:rPr>
          <w:spacing w:val="30"/>
        </w:rPr>
        <w:t xml:space="preserve"> </w:t>
      </w:r>
      <w:r>
        <w:t>ARIS,</w:t>
      </w:r>
      <w:r>
        <w:rPr>
          <w:spacing w:val="38"/>
        </w:rPr>
        <w:t xml:space="preserve"> </w:t>
      </w:r>
      <w:r w:rsidR="004E3AC3">
        <w:t>gjatë</w:t>
      </w:r>
      <w:r>
        <w:rPr>
          <w:spacing w:val="29"/>
        </w:rPr>
        <w:t xml:space="preserve"> </w:t>
      </w:r>
      <w:r>
        <w:t>periudhës</w:t>
      </w:r>
      <w:r>
        <w:rPr>
          <w:spacing w:val="30"/>
        </w:rPr>
        <w:t xml:space="preserve"> </w:t>
      </w:r>
      <w:r>
        <w:t>01.01.2023</w:t>
      </w:r>
      <w:r>
        <w:rPr>
          <w:spacing w:val="32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31.12.2023</w:t>
      </w:r>
      <w:r w:rsidR="001E403F">
        <w:t xml:space="preserve"> </w:t>
      </w:r>
      <w:r w:rsidR="001E403F">
        <w:rPr>
          <w:spacing w:val="30"/>
        </w:rPr>
        <w:t>janë identifikuar</w:t>
      </w:r>
      <w:r w:rsidR="001E403F">
        <w:t>1027</w:t>
      </w:r>
      <w:r w:rsidR="00D223DD">
        <w:t>, në kuadër të të cilave ka patur rrugë të pa emërtuara dhe të</w:t>
      </w:r>
      <w:r>
        <w:t xml:space="preserve"> papërfunduara (pa </w:t>
      </w:r>
      <w:r w:rsidR="00D223DD">
        <w:t xml:space="preserve"> identifikim të </w:t>
      </w:r>
      <w:r>
        <w:t>hyrje</w:t>
      </w:r>
      <w:r w:rsidR="00D223DD">
        <w:t>ve të</w:t>
      </w:r>
      <w:r>
        <w:t xml:space="preserve"> objekteve).</w:t>
      </w:r>
    </w:p>
    <w:p w14:paraId="27862F92" w14:textId="20204C39" w:rsidR="00104829" w:rsidRDefault="00104829" w:rsidP="00104829">
      <w:pPr>
        <w:pStyle w:val="BodyText"/>
        <w:ind w:left="132" w:right="167"/>
      </w:pPr>
      <w:r>
        <w:t>Në</w:t>
      </w:r>
      <w:r>
        <w:rPr>
          <w:spacing w:val="-5"/>
        </w:rPr>
        <w:t xml:space="preserve"> </w:t>
      </w:r>
      <w:r>
        <w:t>perudhën</w:t>
      </w:r>
      <w:r>
        <w:rPr>
          <w:spacing w:val="-3"/>
        </w:rPr>
        <w:t xml:space="preserve"> </w:t>
      </w:r>
      <w:r>
        <w:t>01.01.2024 –</w:t>
      </w:r>
      <w:r>
        <w:rPr>
          <w:spacing w:val="-3"/>
        </w:rPr>
        <w:t xml:space="preserve"> </w:t>
      </w:r>
      <w:r>
        <w:t>31.12.2024</w:t>
      </w:r>
      <w:r w:rsidR="00D223DD">
        <w:rPr>
          <w:spacing w:val="-3"/>
        </w:rPr>
        <w:t>,</w:t>
      </w:r>
      <w:r>
        <w:t>në</w:t>
      </w:r>
      <w:r>
        <w:rPr>
          <w:spacing w:val="-4"/>
        </w:rPr>
        <w:t xml:space="preserve"> </w:t>
      </w:r>
      <w:r>
        <w:t>programin</w:t>
      </w:r>
      <w:r>
        <w:rPr>
          <w:spacing w:val="-3"/>
        </w:rPr>
        <w:t xml:space="preserve"> </w:t>
      </w:r>
      <w:r>
        <w:t>ARIS</w:t>
      </w:r>
      <w:r>
        <w:rPr>
          <w:spacing w:val="-3"/>
        </w:rPr>
        <w:t xml:space="preserve"> </w:t>
      </w:r>
      <w:r>
        <w:t>numri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rrugëve</w:t>
      </w:r>
      <w:r>
        <w:rPr>
          <w:spacing w:val="-2"/>
        </w:rPr>
        <w:t xml:space="preserve"> </w:t>
      </w:r>
      <w:r>
        <w:t>ka</w:t>
      </w:r>
      <w:r>
        <w:rPr>
          <w:spacing w:val="-4"/>
        </w:rPr>
        <w:t xml:space="preserve"> </w:t>
      </w:r>
      <w:r>
        <w:t>arritur</w:t>
      </w:r>
      <w:r>
        <w:rPr>
          <w:spacing w:val="-3"/>
        </w:rPr>
        <w:t xml:space="preserve"> </w:t>
      </w:r>
      <w:r>
        <w:t>shifrën</w:t>
      </w:r>
      <w:r>
        <w:rPr>
          <w:spacing w:val="-3"/>
        </w:rPr>
        <w:t xml:space="preserve"> </w:t>
      </w:r>
      <w:r>
        <w:t>1050</w:t>
      </w:r>
      <w:r>
        <w:rPr>
          <w:spacing w:val="-3"/>
        </w:rPr>
        <w:t xml:space="preserve"> </w:t>
      </w:r>
      <w:r>
        <w:t>rrugë,</w:t>
      </w:r>
      <w:r>
        <w:rPr>
          <w:spacing w:val="-1"/>
        </w:rPr>
        <w:t xml:space="preserve"> </w:t>
      </w:r>
      <w:r>
        <w:t>ku në to janë bërë:</w:t>
      </w:r>
    </w:p>
    <w:p w14:paraId="61DBBD64" w14:textId="77777777" w:rsidR="00104829" w:rsidRDefault="00104829" w:rsidP="00104829">
      <w:pPr>
        <w:pStyle w:val="ListParagraph"/>
        <w:widowControl w:val="0"/>
        <w:numPr>
          <w:ilvl w:val="0"/>
          <w:numId w:val="3"/>
        </w:numPr>
        <w:tabs>
          <w:tab w:val="left" w:pos="852"/>
        </w:tabs>
        <w:autoSpaceDE w:val="0"/>
        <w:autoSpaceDN w:val="0"/>
        <w:spacing w:before="1"/>
      </w:pPr>
      <w:r>
        <w:t>Identifikimi</w:t>
      </w:r>
      <w:r>
        <w:rPr>
          <w:spacing w:val="-2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vektorizimi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rrugëve</w:t>
      </w:r>
      <w:r>
        <w:rPr>
          <w:spacing w:val="-2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rPr>
          <w:spacing w:val="-4"/>
        </w:rPr>
        <w:t>reja;</w:t>
      </w:r>
    </w:p>
    <w:p w14:paraId="45FD9EDD" w14:textId="4F4A7E28" w:rsidR="00104829" w:rsidRDefault="00104829" w:rsidP="00104829">
      <w:pPr>
        <w:pStyle w:val="ListParagraph"/>
        <w:widowControl w:val="0"/>
        <w:numPr>
          <w:ilvl w:val="0"/>
          <w:numId w:val="3"/>
        </w:numPr>
        <w:tabs>
          <w:tab w:val="left" w:pos="852"/>
        </w:tabs>
        <w:autoSpaceDE w:val="0"/>
        <w:autoSpaceDN w:val="0"/>
        <w:ind w:right="317"/>
      </w:pPr>
      <w:r>
        <w:t>Emërtimi i rrugëve ekzistuese dhe të reja, duke u bazua</w:t>
      </w:r>
      <w:r w:rsidR="00D223DD">
        <w:t>r në vendimet e Komisionit për E</w:t>
      </w:r>
      <w:r>
        <w:t xml:space="preserve">mërtimin e </w:t>
      </w:r>
      <w:r w:rsidR="00D223DD">
        <w:rPr>
          <w:spacing w:val="-2"/>
        </w:rPr>
        <w:t>Rr</w:t>
      </w:r>
      <w:r>
        <w:rPr>
          <w:spacing w:val="-2"/>
        </w:rPr>
        <w:t>ugëve;</w:t>
      </w:r>
    </w:p>
    <w:p w14:paraId="2DC44F97" w14:textId="6E136ED5" w:rsidR="00104829" w:rsidRDefault="00D223DD" w:rsidP="00104829">
      <w:pPr>
        <w:pStyle w:val="ListParagraph"/>
        <w:widowControl w:val="0"/>
        <w:numPr>
          <w:ilvl w:val="0"/>
          <w:numId w:val="3"/>
        </w:numPr>
        <w:tabs>
          <w:tab w:val="left" w:pos="852"/>
        </w:tabs>
        <w:autoSpaceDE w:val="0"/>
        <w:autoSpaceDN w:val="0"/>
      </w:pPr>
      <w:r>
        <w:t>Identifikimi</w:t>
      </w:r>
      <w:r w:rsidR="00104829">
        <w:rPr>
          <w:spacing w:val="-4"/>
        </w:rPr>
        <w:t xml:space="preserve"> </w:t>
      </w:r>
      <w:r w:rsidR="00104829">
        <w:t>i</w:t>
      </w:r>
      <w:r w:rsidR="00104829">
        <w:rPr>
          <w:spacing w:val="-2"/>
        </w:rPr>
        <w:t xml:space="preserve"> </w:t>
      </w:r>
      <w:r w:rsidR="00104829">
        <w:t>hyrjeve</w:t>
      </w:r>
      <w:r w:rsidR="00104829">
        <w:rPr>
          <w:spacing w:val="-2"/>
        </w:rPr>
        <w:t xml:space="preserve"> </w:t>
      </w:r>
      <w:r w:rsidR="00104829">
        <w:t>të</w:t>
      </w:r>
      <w:r w:rsidR="00104829">
        <w:rPr>
          <w:spacing w:val="-2"/>
        </w:rPr>
        <w:t xml:space="preserve"> </w:t>
      </w:r>
      <w:r w:rsidR="00104829">
        <w:rPr>
          <w:spacing w:val="-4"/>
        </w:rPr>
        <w:t>reja.</w:t>
      </w:r>
    </w:p>
    <w:p w14:paraId="788B03EA" w14:textId="77777777" w:rsidR="00D223DD" w:rsidRDefault="00104829" w:rsidP="00104829">
      <w:pPr>
        <w:pStyle w:val="BodyText"/>
        <w:spacing w:before="276"/>
        <w:ind w:left="132" w:right="315"/>
        <w:jc w:val="both"/>
      </w:pPr>
      <w:r>
        <w:t>Gjatë periudhës 01.01.2023 – 31.12.2023 nga 1027 rrugë kanë qenë të përfunduara rreth 60% e rrugëve në tërësi (me gjitha segmentet dhe hyrjet).</w:t>
      </w:r>
    </w:p>
    <w:p w14:paraId="5F2E1C62" w14:textId="7A8FC525" w:rsidR="00104829" w:rsidRDefault="00104829" w:rsidP="00104829">
      <w:pPr>
        <w:pStyle w:val="BodyText"/>
        <w:spacing w:before="276"/>
        <w:ind w:left="132" w:right="315"/>
        <w:jc w:val="both"/>
      </w:pPr>
      <w:r>
        <w:t xml:space="preserve"> Ndërsa, gjate perudhës 01.01.2024 – 31.12.2024 nga 1050 rrugë janë të përfunduara rreth 90% të rrugëve.</w:t>
      </w:r>
    </w:p>
    <w:p w14:paraId="3ABAA540" w14:textId="131BA9FE" w:rsidR="00E25E79" w:rsidRDefault="00D223DD" w:rsidP="00E25E79">
      <w:pPr>
        <w:pStyle w:val="BodyText"/>
        <w:spacing w:before="63"/>
        <w:ind w:left="132" w:right="314"/>
        <w:jc w:val="both"/>
      </w:pPr>
      <w:r>
        <w:t>Pas vendosjen e të dhënave të rrugëve në sistemin elektronik, përmes daljes në teren dhe konstatimit të gjendjes faktike</w:t>
      </w:r>
      <w:r w:rsidR="00E25E79">
        <w:t xml:space="preserve"> të tabelave për emërtimin e rrugëve, është pregaditur dosja e materialit për procededimin e prokurimit të projektit: </w:t>
      </w:r>
      <w:r w:rsidR="00104829">
        <w:t>“Furnizimi dhe vendosja e tabelave për plo</w:t>
      </w:r>
      <w:r w:rsidR="00E25E79">
        <w:t>tësimin e emërtimit të rrugëve”.Operatori i përzgjedhur, “SINJALIZIMI SH.P.K”, punimet i ka filluar më 18.10.2024 dhe i ka përfunduar,përafërsisht, pas dy muajve. Projekti ka përfunduar sakt dhe pa probleme përmbajtësore, sipas gjendjes së prezentuar në vazhdim:</w:t>
      </w:r>
    </w:p>
    <w:p w14:paraId="0B4FE5BB" w14:textId="77777777" w:rsidR="00AB1576" w:rsidRDefault="00AB1576" w:rsidP="004E3AC3">
      <w:pPr>
        <w:pStyle w:val="Heading1"/>
        <w:spacing w:before="68"/>
        <w:rPr>
          <w:color w:val="auto"/>
          <w:sz w:val="28"/>
          <w:szCs w:val="28"/>
        </w:rPr>
      </w:pPr>
    </w:p>
    <w:p w14:paraId="77A218E8" w14:textId="63E60B64" w:rsidR="004E3AC3" w:rsidRPr="00CB229A" w:rsidRDefault="004E3AC3" w:rsidP="004E3AC3">
      <w:pPr>
        <w:pStyle w:val="Heading1"/>
        <w:spacing w:before="68"/>
        <w:rPr>
          <w:color w:val="auto"/>
          <w:sz w:val="28"/>
          <w:szCs w:val="28"/>
        </w:rPr>
      </w:pPr>
      <w:r w:rsidRPr="00CB229A">
        <w:rPr>
          <w:color w:val="auto"/>
          <w:sz w:val="28"/>
          <w:szCs w:val="28"/>
        </w:rPr>
        <w:t>Forma</w:t>
      </w:r>
      <w:r w:rsidRPr="00CB229A">
        <w:rPr>
          <w:color w:val="auto"/>
          <w:spacing w:val="-3"/>
          <w:sz w:val="28"/>
          <w:szCs w:val="28"/>
        </w:rPr>
        <w:t xml:space="preserve"> </w:t>
      </w:r>
      <w:r w:rsidRPr="00CB229A">
        <w:rPr>
          <w:color w:val="auto"/>
          <w:sz w:val="28"/>
          <w:szCs w:val="28"/>
        </w:rPr>
        <w:t>tabelare e</w:t>
      </w:r>
      <w:r w:rsidRPr="00CB229A">
        <w:rPr>
          <w:color w:val="auto"/>
          <w:spacing w:val="-2"/>
          <w:sz w:val="28"/>
          <w:szCs w:val="28"/>
        </w:rPr>
        <w:t xml:space="preserve"> </w:t>
      </w:r>
      <w:r w:rsidRPr="00CB229A">
        <w:rPr>
          <w:color w:val="auto"/>
          <w:sz w:val="28"/>
          <w:szCs w:val="28"/>
        </w:rPr>
        <w:t>sasisë së</w:t>
      </w:r>
      <w:r w:rsidRPr="00CB229A">
        <w:rPr>
          <w:color w:val="auto"/>
          <w:spacing w:val="-1"/>
          <w:sz w:val="28"/>
          <w:szCs w:val="28"/>
        </w:rPr>
        <w:t xml:space="preserve"> </w:t>
      </w:r>
      <w:r w:rsidRPr="00CB229A">
        <w:rPr>
          <w:color w:val="auto"/>
          <w:sz w:val="28"/>
          <w:szCs w:val="28"/>
        </w:rPr>
        <w:t>tabelave</w:t>
      </w:r>
      <w:r w:rsidRPr="00CB229A">
        <w:rPr>
          <w:color w:val="auto"/>
          <w:spacing w:val="-1"/>
          <w:sz w:val="28"/>
          <w:szCs w:val="28"/>
        </w:rPr>
        <w:t xml:space="preserve"> </w:t>
      </w:r>
      <w:r w:rsidRPr="00CB229A">
        <w:rPr>
          <w:color w:val="auto"/>
          <w:sz w:val="28"/>
          <w:szCs w:val="28"/>
        </w:rPr>
        <w:t>sipas</w:t>
      </w:r>
      <w:r w:rsidRPr="00CB229A">
        <w:rPr>
          <w:color w:val="auto"/>
          <w:spacing w:val="-1"/>
          <w:sz w:val="28"/>
          <w:szCs w:val="28"/>
        </w:rPr>
        <w:t xml:space="preserve"> </w:t>
      </w:r>
      <w:r w:rsidRPr="00CB229A">
        <w:rPr>
          <w:color w:val="auto"/>
          <w:sz w:val="28"/>
          <w:szCs w:val="28"/>
        </w:rPr>
        <w:t>Zonave</w:t>
      </w:r>
      <w:r w:rsidRPr="00CB229A">
        <w:rPr>
          <w:color w:val="auto"/>
          <w:spacing w:val="-1"/>
          <w:sz w:val="28"/>
          <w:szCs w:val="28"/>
        </w:rPr>
        <w:t xml:space="preserve"> </w:t>
      </w:r>
      <w:r w:rsidRPr="00CB229A">
        <w:rPr>
          <w:color w:val="auto"/>
          <w:spacing w:val="-2"/>
          <w:sz w:val="28"/>
          <w:szCs w:val="28"/>
        </w:rPr>
        <w:t>Kadastrale:</w:t>
      </w:r>
    </w:p>
    <w:p w14:paraId="20A26AE1" w14:textId="77777777" w:rsidR="004E3AC3" w:rsidRPr="00CB229A" w:rsidRDefault="004E3AC3" w:rsidP="004E3AC3">
      <w:pPr>
        <w:pStyle w:val="BodyText"/>
        <w:spacing w:before="46" w:after="1"/>
        <w:rPr>
          <w:b/>
          <w:sz w:val="20"/>
        </w:rPr>
      </w:pPr>
    </w:p>
    <w:tbl>
      <w:tblPr>
        <w:tblW w:w="0" w:type="auto"/>
        <w:tblInd w:w="3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0"/>
        <w:gridCol w:w="2410"/>
        <w:gridCol w:w="891"/>
      </w:tblGrid>
      <w:tr w:rsidR="004E3AC3" w14:paraId="7CEC204A" w14:textId="77777777" w:rsidTr="004E3AC3">
        <w:trPr>
          <w:trHeight w:val="326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AF11D" w14:textId="77777777" w:rsidR="004E3AC3" w:rsidRDefault="004E3AC3">
            <w:pPr>
              <w:pStyle w:val="TableParagraph"/>
              <w:spacing w:before="1" w:line="240" w:lineRule="auto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0A1ED" w14:textId="77777777" w:rsidR="004E3AC3" w:rsidRDefault="004E3AC3">
            <w:pPr>
              <w:pStyle w:val="TableParagraph"/>
              <w:spacing w:before="1" w:line="240" w:lineRule="auto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Zona</w:t>
            </w:r>
            <w:r>
              <w:rPr>
                <w:b/>
                <w:spacing w:val="-2"/>
                <w:sz w:val="24"/>
              </w:rPr>
              <w:t xml:space="preserve"> Kadastrale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0EA5F" w14:textId="77777777" w:rsidR="004E3AC3" w:rsidRDefault="004E3AC3">
            <w:pPr>
              <w:pStyle w:val="TableParagraph"/>
              <w:spacing w:before="1" w:line="240" w:lineRule="auto"/>
              <w:ind w:left="0" w:right="23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Sasia</w:t>
            </w:r>
          </w:p>
        </w:tc>
      </w:tr>
      <w:tr w:rsidR="004E3AC3" w14:paraId="01B9934B" w14:textId="77777777" w:rsidTr="004E3AC3">
        <w:trPr>
          <w:trHeight w:val="302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FB8AA" w14:textId="77777777" w:rsidR="004E3AC3" w:rsidRDefault="004E3AC3">
            <w:pPr>
              <w:pStyle w:val="TableParagraph"/>
              <w:spacing w:before="0" w:line="270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BF5F3" w14:textId="77777777" w:rsidR="004E3AC3" w:rsidRDefault="004E3AC3">
            <w:pPr>
              <w:pStyle w:val="TableParagraph"/>
              <w:spacing w:before="0" w:line="270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Bilincë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73AD9" w14:textId="77777777" w:rsidR="004E3AC3" w:rsidRDefault="004E3AC3">
            <w:pPr>
              <w:pStyle w:val="TableParagraph"/>
              <w:spacing w:before="0" w:line="270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E3AC3" w14:paraId="2A45A3E5" w14:textId="77777777" w:rsidTr="004E3AC3">
        <w:trPr>
          <w:trHeight w:val="32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44C68" w14:textId="77777777" w:rsidR="004E3AC3" w:rsidRDefault="004E3AC3">
            <w:pPr>
              <w:pStyle w:val="TableParagraph"/>
              <w:spacing w:before="0" w:line="273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4196A" w14:textId="77777777" w:rsidR="004E3AC3" w:rsidRDefault="004E3AC3">
            <w:pPr>
              <w:pStyle w:val="TableParagraph"/>
              <w:spacing w:before="0" w:line="273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Bukovik-</w:t>
            </w:r>
            <w:r>
              <w:rPr>
                <w:spacing w:val="-4"/>
                <w:sz w:val="24"/>
              </w:rPr>
              <w:t>Capar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FA3A5" w14:textId="77777777" w:rsidR="004E3AC3" w:rsidRDefault="004E3AC3">
            <w:pPr>
              <w:pStyle w:val="TableParagraph"/>
              <w:spacing w:before="0" w:line="273" w:lineRule="exact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4E3AC3" w14:paraId="44D0B378" w14:textId="77777777" w:rsidTr="004E3AC3">
        <w:trPr>
          <w:trHeight w:val="32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D4F73" w14:textId="77777777" w:rsidR="004E3AC3" w:rsidRDefault="004E3AC3">
            <w:pPr>
              <w:pStyle w:val="TableParagraph"/>
              <w:spacing w:before="0" w:line="270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DBEA7" w14:textId="77777777" w:rsidR="004E3AC3" w:rsidRDefault="004E3AC3">
            <w:pPr>
              <w:pStyle w:val="TableParagraph"/>
              <w:spacing w:before="0" w:line="270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Celik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7D846" w14:textId="77777777" w:rsidR="004E3AC3" w:rsidRDefault="004E3AC3">
            <w:pPr>
              <w:pStyle w:val="TableParagraph"/>
              <w:spacing w:before="0" w:line="270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4E3AC3" w14:paraId="78AB2790" w14:textId="77777777" w:rsidTr="004E3AC3">
        <w:trPr>
          <w:trHeight w:val="32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1EBB9" w14:textId="77777777" w:rsidR="004E3AC3" w:rsidRDefault="004E3AC3">
            <w:pPr>
              <w:pStyle w:val="TableParagraph"/>
              <w:spacing w:before="0" w:line="270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CDC9E" w14:textId="77777777" w:rsidR="004E3AC3" w:rsidRDefault="004E3AC3">
            <w:pPr>
              <w:pStyle w:val="TableParagraph"/>
              <w:spacing w:before="0" w:line="270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Dunav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86D05" w14:textId="77777777" w:rsidR="004E3AC3" w:rsidRDefault="004E3AC3">
            <w:pPr>
              <w:pStyle w:val="TableParagraph"/>
              <w:spacing w:before="0" w:line="270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4E3AC3" w14:paraId="760A9305" w14:textId="77777777" w:rsidTr="004E3AC3">
        <w:trPr>
          <w:trHeight w:val="304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9BBD8" w14:textId="77777777" w:rsidR="004E3AC3" w:rsidRDefault="004E3AC3">
            <w:pPr>
              <w:pStyle w:val="TableParagraph"/>
              <w:spacing w:before="0" w:line="270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8231D" w14:textId="77777777" w:rsidR="004E3AC3" w:rsidRDefault="004E3AC3">
            <w:pPr>
              <w:pStyle w:val="TableParagraph"/>
              <w:spacing w:before="0" w:line="270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Gjilan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7DA9D" w14:textId="77777777" w:rsidR="004E3AC3" w:rsidRDefault="004E3AC3">
            <w:pPr>
              <w:pStyle w:val="TableParagraph"/>
              <w:spacing w:before="0" w:line="270" w:lineRule="exact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4E3AC3" w14:paraId="19500650" w14:textId="77777777" w:rsidTr="004E3AC3">
        <w:trPr>
          <w:trHeight w:val="32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72CCB" w14:textId="77777777" w:rsidR="004E3AC3" w:rsidRDefault="004E3AC3">
            <w:pPr>
              <w:pStyle w:val="TableParagraph"/>
              <w:spacing w:before="0" w:line="270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E1288" w14:textId="77777777" w:rsidR="004E3AC3" w:rsidRDefault="004E3AC3">
            <w:pPr>
              <w:pStyle w:val="TableParagraph"/>
              <w:spacing w:before="0" w:line="27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Goden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Vogel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9BA61" w14:textId="77777777" w:rsidR="004E3AC3" w:rsidRDefault="004E3AC3">
            <w:pPr>
              <w:pStyle w:val="TableParagraph"/>
              <w:spacing w:before="0" w:line="270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3AC3" w14:paraId="7A843F18" w14:textId="77777777" w:rsidTr="004E3AC3">
        <w:trPr>
          <w:trHeight w:val="326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EF445" w14:textId="77777777" w:rsidR="004E3AC3" w:rsidRDefault="004E3AC3">
            <w:pPr>
              <w:pStyle w:val="TableParagraph"/>
              <w:spacing w:before="0" w:line="270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DC04E" w14:textId="77777777" w:rsidR="004E3AC3" w:rsidRDefault="004E3AC3">
            <w:pPr>
              <w:pStyle w:val="TableParagraph"/>
              <w:spacing w:before="0" w:line="270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Inatoc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71D85" w14:textId="77777777" w:rsidR="004E3AC3" w:rsidRDefault="004E3AC3">
            <w:pPr>
              <w:pStyle w:val="TableParagraph"/>
              <w:spacing w:before="0" w:line="270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E3AC3" w14:paraId="0CDD5252" w14:textId="77777777" w:rsidTr="004E3AC3">
        <w:trPr>
          <w:trHeight w:val="302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57C5F" w14:textId="77777777" w:rsidR="004E3AC3" w:rsidRDefault="004E3AC3">
            <w:pPr>
              <w:pStyle w:val="TableParagraph"/>
              <w:spacing w:before="0" w:line="270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11DB5" w14:textId="77777777" w:rsidR="004E3AC3" w:rsidRDefault="004E3AC3">
            <w:pPr>
              <w:pStyle w:val="TableParagraph"/>
              <w:spacing w:before="0" w:line="270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Lipovicë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D7063" w14:textId="77777777" w:rsidR="004E3AC3" w:rsidRDefault="004E3AC3">
            <w:pPr>
              <w:pStyle w:val="TableParagraph"/>
              <w:spacing w:before="0" w:line="270" w:lineRule="exact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 w:rsidR="004E3AC3" w14:paraId="3A43F975" w14:textId="77777777" w:rsidTr="004E3AC3">
        <w:trPr>
          <w:trHeight w:val="326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BCACA" w14:textId="77777777" w:rsidR="004E3AC3" w:rsidRDefault="004E3AC3">
            <w:pPr>
              <w:pStyle w:val="TableParagraph"/>
              <w:spacing w:before="0" w:line="270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F674C" w14:textId="77777777" w:rsidR="004E3AC3" w:rsidRDefault="004E3AC3">
            <w:pPr>
              <w:pStyle w:val="TableParagraph"/>
              <w:spacing w:before="0" w:line="270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Llovcë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AA620" w14:textId="77777777" w:rsidR="004E3AC3" w:rsidRDefault="004E3AC3">
            <w:pPr>
              <w:pStyle w:val="TableParagraph"/>
              <w:spacing w:before="0" w:line="270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E3AC3" w14:paraId="6D66415E" w14:textId="77777777" w:rsidTr="004E3AC3">
        <w:trPr>
          <w:trHeight w:val="324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5E38E" w14:textId="77777777" w:rsidR="004E3AC3" w:rsidRDefault="004E3AC3">
            <w:pPr>
              <w:pStyle w:val="TableParagraph"/>
              <w:spacing w:before="0" w:line="270" w:lineRule="exact"/>
              <w:ind w:left="0" w:right="2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7A790" w14:textId="77777777" w:rsidR="004E3AC3" w:rsidRDefault="004E3AC3">
            <w:pPr>
              <w:pStyle w:val="TableParagraph"/>
              <w:spacing w:before="0" w:line="270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Malishevë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40525" w14:textId="77777777" w:rsidR="004E3AC3" w:rsidRDefault="004E3AC3">
            <w:pPr>
              <w:pStyle w:val="TableParagraph"/>
              <w:spacing w:before="0" w:line="270" w:lineRule="exact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</w:tr>
      <w:tr w:rsidR="004E3AC3" w14:paraId="6F26EDDF" w14:textId="77777777" w:rsidTr="004E3AC3">
        <w:trPr>
          <w:trHeight w:val="304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6A6B1" w14:textId="77777777" w:rsidR="004E3AC3" w:rsidRDefault="004E3AC3">
            <w:pPr>
              <w:pStyle w:val="TableParagraph"/>
              <w:spacing w:before="0" w:line="273" w:lineRule="exact"/>
              <w:ind w:left="0" w:right="2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58B5F" w14:textId="77777777" w:rsidR="004E3AC3" w:rsidRDefault="004E3AC3">
            <w:pPr>
              <w:pStyle w:val="TableParagraph"/>
              <w:spacing w:before="0" w:line="273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Muçibabë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0A8C2" w14:textId="77777777" w:rsidR="004E3AC3" w:rsidRDefault="004E3AC3">
            <w:pPr>
              <w:pStyle w:val="TableParagraph"/>
              <w:spacing w:before="0" w:line="273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E3AC3" w14:paraId="1C060218" w14:textId="77777777" w:rsidTr="004E3AC3">
        <w:trPr>
          <w:trHeight w:val="32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06438" w14:textId="77777777" w:rsidR="004E3AC3" w:rsidRDefault="004E3AC3">
            <w:pPr>
              <w:pStyle w:val="TableParagraph"/>
              <w:spacing w:before="0" w:line="270" w:lineRule="exact"/>
              <w:ind w:left="0" w:right="2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19AE0" w14:textId="77777777" w:rsidR="004E3AC3" w:rsidRDefault="004E3AC3">
            <w:pPr>
              <w:pStyle w:val="TableParagraph"/>
              <w:spacing w:before="0" w:line="270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Nasalë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F57BE" w14:textId="77777777" w:rsidR="004E3AC3" w:rsidRDefault="004E3AC3">
            <w:pPr>
              <w:pStyle w:val="TableParagraph"/>
              <w:spacing w:before="0" w:line="270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3AC3" w14:paraId="46EEE0F5" w14:textId="77777777" w:rsidTr="004E3AC3">
        <w:trPr>
          <w:trHeight w:val="326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B261E" w14:textId="77777777" w:rsidR="004E3AC3" w:rsidRDefault="004E3AC3">
            <w:pPr>
              <w:pStyle w:val="TableParagraph"/>
              <w:spacing w:before="0" w:line="273" w:lineRule="exact"/>
              <w:ind w:left="0" w:right="2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206BE" w14:textId="77777777" w:rsidR="004E3AC3" w:rsidRDefault="004E3AC3">
            <w:pPr>
              <w:pStyle w:val="TableParagraph"/>
              <w:spacing w:before="0" w:line="273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Pidiq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9898E" w14:textId="77777777" w:rsidR="004E3AC3" w:rsidRDefault="004E3AC3">
            <w:pPr>
              <w:pStyle w:val="TableParagraph"/>
              <w:spacing w:before="0" w:line="273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4E3AC3" w14:paraId="0056DEC2" w14:textId="77777777" w:rsidTr="004E3AC3">
        <w:trPr>
          <w:trHeight w:val="32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8DEB6" w14:textId="77777777" w:rsidR="004E3AC3" w:rsidRDefault="004E3AC3">
            <w:pPr>
              <w:pStyle w:val="TableParagraph"/>
              <w:spacing w:before="0" w:line="270" w:lineRule="exact"/>
              <w:ind w:left="0" w:right="2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4BF71" w14:textId="77777777" w:rsidR="004E3AC3" w:rsidRDefault="004E3AC3">
            <w:pPr>
              <w:pStyle w:val="TableParagraph"/>
              <w:spacing w:before="0" w:line="270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Pogragjë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104ED" w14:textId="77777777" w:rsidR="004E3AC3" w:rsidRDefault="004E3AC3">
            <w:pPr>
              <w:pStyle w:val="TableParagraph"/>
              <w:spacing w:before="0" w:line="270" w:lineRule="exact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4E3AC3" w14:paraId="7315855A" w14:textId="77777777" w:rsidTr="004E3AC3">
        <w:trPr>
          <w:trHeight w:val="302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C56D3" w14:textId="77777777" w:rsidR="004E3AC3" w:rsidRDefault="004E3AC3">
            <w:pPr>
              <w:pStyle w:val="TableParagraph"/>
              <w:spacing w:before="0" w:line="270" w:lineRule="exact"/>
              <w:ind w:left="0" w:right="2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BA5C9" w14:textId="77777777" w:rsidR="004E3AC3" w:rsidRDefault="004E3AC3">
            <w:pPr>
              <w:pStyle w:val="TableParagraph"/>
              <w:spacing w:before="0" w:line="270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Shurdhan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3DCAC" w14:textId="77777777" w:rsidR="004E3AC3" w:rsidRDefault="004E3AC3">
            <w:pPr>
              <w:pStyle w:val="TableParagraph"/>
              <w:spacing w:before="0" w:line="270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E3AC3" w14:paraId="42197009" w14:textId="77777777" w:rsidTr="004E3AC3">
        <w:trPr>
          <w:trHeight w:val="32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9C9DB" w14:textId="77777777" w:rsidR="004E3AC3" w:rsidRDefault="004E3AC3">
            <w:pPr>
              <w:pStyle w:val="TableParagraph"/>
              <w:spacing w:before="0" w:line="270" w:lineRule="exact"/>
              <w:ind w:left="0" w:right="2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18949" w14:textId="77777777" w:rsidR="004E3AC3" w:rsidRDefault="004E3AC3">
            <w:pPr>
              <w:pStyle w:val="TableParagraph"/>
              <w:spacing w:before="0" w:line="270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Sllubicë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C8E3C" w14:textId="77777777" w:rsidR="004E3AC3" w:rsidRDefault="004E3AC3">
            <w:pPr>
              <w:pStyle w:val="TableParagraph"/>
              <w:spacing w:before="0" w:line="270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E3AC3" w14:paraId="742E5194" w14:textId="77777777" w:rsidTr="004E3AC3">
        <w:trPr>
          <w:trHeight w:val="32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BD3BF" w14:textId="77777777" w:rsidR="004E3AC3" w:rsidRDefault="004E3AC3">
            <w:pPr>
              <w:pStyle w:val="TableParagraph"/>
              <w:spacing w:before="0" w:line="270" w:lineRule="exact"/>
              <w:ind w:left="0" w:right="2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7355B" w14:textId="77777777" w:rsidR="004E3AC3" w:rsidRDefault="004E3AC3">
            <w:pPr>
              <w:pStyle w:val="TableParagraph"/>
              <w:spacing w:before="0" w:line="270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Stançiq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6BE45" w14:textId="77777777" w:rsidR="004E3AC3" w:rsidRDefault="004E3AC3">
            <w:pPr>
              <w:pStyle w:val="TableParagraph"/>
              <w:spacing w:before="0" w:line="270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4E3AC3" w14:paraId="375ECD40" w14:textId="77777777" w:rsidTr="004E3AC3">
        <w:trPr>
          <w:trHeight w:val="304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C85EA" w14:textId="77777777" w:rsidR="004E3AC3" w:rsidRDefault="004E3AC3">
            <w:pPr>
              <w:pStyle w:val="TableParagraph"/>
              <w:spacing w:before="0" w:line="270" w:lineRule="exact"/>
              <w:ind w:left="0" w:right="2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A3243" w14:textId="77777777" w:rsidR="004E3AC3" w:rsidRDefault="004E3AC3">
            <w:pPr>
              <w:pStyle w:val="TableParagraph"/>
              <w:spacing w:before="0" w:line="270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Stublinë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6D60E" w14:textId="77777777" w:rsidR="004E3AC3" w:rsidRDefault="004E3AC3">
            <w:pPr>
              <w:pStyle w:val="TableParagraph"/>
              <w:spacing w:before="0" w:line="270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3AC3" w14:paraId="06BC6CE0" w14:textId="77777777" w:rsidTr="004E3AC3">
        <w:trPr>
          <w:trHeight w:val="32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4D4F5" w14:textId="77777777" w:rsidR="004E3AC3" w:rsidRDefault="004E3AC3">
            <w:pPr>
              <w:pStyle w:val="TableParagraph"/>
              <w:spacing w:before="0" w:line="270" w:lineRule="exact"/>
              <w:ind w:left="0" w:right="2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AAA80" w14:textId="77777777" w:rsidR="004E3AC3" w:rsidRDefault="004E3AC3">
            <w:pPr>
              <w:pStyle w:val="TableParagraph"/>
              <w:spacing w:before="0" w:line="270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Uglar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BAEC5" w14:textId="77777777" w:rsidR="004E3AC3" w:rsidRDefault="004E3AC3">
            <w:pPr>
              <w:pStyle w:val="TableParagraph"/>
              <w:spacing w:before="0" w:line="270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4E3AC3" w14:paraId="1F7FFDFB" w14:textId="77777777" w:rsidTr="004E3AC3">
        <w:trPr>
          <w:trHeight w:val="32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96E6C" w14:textId="77777777" w:rsidR="004E3AC3" w:rsidRDefault="004E3AC3">
            <w:pPr>
              <w:pStyle w:val="TableParagraph"/>
              <w:spacing w:before="0" w:line="270" w:lineRule="exact"/>
              <w:ind w:left="0" w:right="2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DDCAE" w14:textId="77777777" w:rsidR="004E3AC3" w:rsidRDefault="004E3AC3">
            <w:pPr>
              <w:pStyle w:val="TableParagraph"/>
              <w:spacing w:before="0" w:line="270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Zhegër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7E8EF" w14:textId="77777777" w:rsidR="004E3AC3" w:rsidRDefault="004E3AC3">
            <w:pPr>
              <w:pStyle w:val="TableParagraph"/>
              <w:spacing w:before="0" w:line="270" w:lineRule="exact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</w:tr>
      <w:tr w:rsidR="004E3AC3" w14:paraId="558ADA47" w14:textId="77777777" w:rsidTr="004E3AC3">
        <w:trPr>
          <w:trHeight w:val="302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41E8" w14:textId="77777777" w:rsidR="004E3AC3" w:rsidRDefault="004E3AC3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00BD6" w14:textId="77777777" w:rsidR="004E3AC3" w:rsidRDefault="004E3AC3">
            <w:pPr>
              <w:pStyle w:val="TableParagraph"/>
              <w:spacing w:before="0" w:line="275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Gjithsej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3178A" w14:textId="77777777" w:rsidR="004E3AC3" w:rsidRDefault="004E3AC3">
            <w:pPr>
              <w:pStyle w:val="TableParagraph"/>
              <w:spacing w:before="0" w:line="275" w:lineRule="exact"/>
              <w:ind w:left="0" w:right="25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202</w:t>
            </w:r>
          </w:p>
        </w:tc>
      </w:tr>
    </w:tbl>
    <w:p w14:paraId="4AE4CB21" w14:textId="77777777" w:rsidR="004E3AC3" w:rsidRDefault="004E3AC3" w:rsidP="004E3AC3">
      <w:pPr>
        <w:pStyle w:val="BodyText"/>
        <w:spacing w:before="4"/>
        <w:rPr>
          <w:b/>
        </w:rPr>
      </w:pPr>
    </w:p>
    <w:p w14:paraId="43DCDAF1" w14:textId="0766B97C" w:rsidR="004E3AC3" w:rsidRDefault="004E3AC3" w:rsidP="00CB229A">
      <w:pPr>
        <w:pStyle w:val="BodyText"/>
        <w:ind w:left="132" w:right="167"/>
        <w:sectPr w:rsidR="004E3AC3">
          <w:pgSz w:w="12240" w:h="15840"/>
          <w:pgMar w:top="740" w:right="720" w:bottom="1200" w:left="720" w:header="0" w:footer="987" w:gutter="0"/>
          <w:cols w:space="720"/>
        </w:sectPr>
      </w:pPr>
      <w:r>
        <w:t>Nga</w:t>
      </w:r>
      <w:r>
        <w:rPr>
          <w:spacing w:val="-1"/>
        </w:rPr>
        <w:t xml:space="preserve"> </w:t>
      </w:r>
      <w:r>
        <w:t>gjithsej</w:t>
      </w:r>
      <w:r>
        <w:rPr>
          <w:spacing w:val="-1"/>
        </w:rPr>
        <w:t xml:space="preserve"> </w:t>
      </w:r>
      <w:r>
        <w:t>202</w:t>
      </w:r>
      <w:r>
        <w:rPr>
          <w:spacing w:val="-1"/>
        </w:rPr>
        <w:t xml:space="preserve"> </w:t>
      </w:r>
      <w:r>
        <w:t>tabela</w:t>
      </w:r>
      <w:r w:rsidR="00CB229A">
        <w:t>,</w:t>
      </w:r>
      <w:r>
        <w:rPr>
          <w:spacing w:val="-1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20 Zona</w:t>
      </w:r>
      <w:r>
        <w:rPr>
          <w:spacing w:val="-2"/>
        </w:rPr>
        <w:t xml:space="preserve"> </w:t>
      </w:r>
      <w:r>
        <w:t>Kadastrale,</w:t>
      </w:r>
      <w:r>
        <w:rPr>
          <w:spacing w:val="-1"/>
        </w:rPr>
        <w:t xml:space="preserve"> </w:t>
      </w:r>
      <w:r>
        <w:t>191</w:t>
      </w:r>
      <w:r>
        <w:rPr>
          <w:spacing w:val="-1"/>
        </w:rPr>
        <w:t xml:space="preserve"> </w:t>
      </w:r>
      <w:r>
        <w:t>janë</w:t>
      </w:r>
      <w:r>
        <w:rPr>
          <w:spacing w:val="-3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vendosura</w:t>
      </w:r>
      <w:r>
        <w:rPr>
          <w:spacing w:val="-3"/>
        </w:rPr>
        <w:t xml:space="preserve"> </w:t>
      </w:r>
      <w:r>
        <w:t>në</w:t>
      </w:r>
      <w:r>
        <w:rPr>
          <w:spacing w:val="-2"/>
        </w:rPr>
        <w:t xml:space="preserve"> </w:t>
      </w:r>
      <w:r w:rsidR="00CB229A">
        <w:t>shtylla</w:t>
      </w:r>
      <w:r>
        <w:t>,</w:t>
      </w:r>
      <w:r>
        <w:rPr>
          <w:spacing w:val="-1"/>
        </w:rPr>
        <w:t xml:space="preserve"> </w:t>
      </w:r>
      <w:r>
        <w:t>kurse</w:t>
      </w:r>
      <w:r>
        <w:rPr>
          <w:spacing w:val="-2"/>
        </w:rPr>
        <w:t xml:space="preserve"> </w:t>
      </w:r>
      <w:r>
        <w:t>11 janë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 w:rsidR="00CB229A">
        <w:t>vendosura në mur</w:t>
      </w:r>
    </w:p>
    <w:p w14:paraId="0AC8342F" w14:textId="77777777" w:rsidR="004E3AC3" w:rsidRDefault="004E3AC3" w:rsidP="004E3AC3">
      <w:pPr>
        <w:pStyle w:val="Heading1"/>
        <w:spacing w:before="68"/>
      </w:pPr>
      <w:r>
        <w:lastRenderedPageBreak/>
        <w:t>Forma</w:t>
      </w:r>
      <w:r>
        <w:rPr>
          <w:spacing w:val="-3"/>
        </w:rPr>
        <w:t xml:space="preserve"> </w:t>
      </w:r>
      <w:r>
        <w:t>grafike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sasisë</w:t>
      </w:r>
      <w:r>
        <w:rPr>
          <w:spacing w:val="-1"/>
        </w:rPr>
        <w:t xml:space="preserve"> </w:t>
      </w:r>
      <w:r>
        <w:t>së</w:t>
      </w:r>
      <w:r>
        <w:rPr>
          <w:spacing w:val="-1"/>
        </w:rPr>
        <w:t xml:space="preserve"> </w:t>
      </w:r>
      <w:r>
        <w:t>tabelave</w:t>
      </w:r>
      <w:r>
        <w:rPr>
          <w:spacing w:val="1"/>
        </w:rPr>
        <w:t xml:space="preserve"> </w:t>
      </w:r>
      <w:r>
        <w:t>sipas Zonave</w:t>
      </w:r>
      <w:r>
        <w:rPr>
          <w:spacing w:val="1"/>
        </w:rPr>
        <w:t xml:space="preserve"> </w:t>
      </w:r>
      <w:r>
        <w:rPr>
          <w:spacing w:val="-2"/>
        </w:rPr>
        <w:t>Kadastrale:</w:t>
      </w:r>
    </w:p>
    <w:p w14:paraId="46AFB1AD" w14:textId="77777777" w:rsidR="004E3AC3" w:rsidRDefault="004E3AC3" w:rsidP="00104829">
      <w:pPr>
        <w:pStyle w:val="BodyText"/>
        <w:spacing w:before="63"/>
        <w:ind w:left="132" w:right="314"/>
        <w:jc w:val="both"/>
      </w:pPr>
    </w:p>
    <w:p w14:paraId="1D5D5014" w14:textId="57B3C658" w:rsidR="00104829" w:rsidRDefault="00104829" w:rsidP="00104829">
      <w:pPr>
        <w:pStyle w:val="BodyText"/>
        <w:spacing w:before="63"/>
        <w:ind w:left="132" w:right="314"/>
        <w:jc w:val="both"/>
      </w:pPr>
      <w:r>
        <w:rPr>
          <w:noProof/>
          <w:lang w:val="en-US"/>
        </w:rPr>
        <w:drawing>
          <wp:inline distT="0" distB="0" distL="0" distR="0" wp14:anchorId="26CD0AB1" wp14:editId="231FF148">
            <wp:extent cx="6560820" cy="6560820"/>
            <wp:effectExtent l="0" t="0" r="0" b="0"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0820" cy="656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BF3D5" w14:textId="77777777" w:rsidR="00104829" w:rsidRDefault="00104829" w:rsidP="00104829">
      <w:pPr>
        <w:pStyle w:val="BodyText"/>
      </w:pPr>
    </w:p>
    <w:p w14:paraId="1407708B" w14:textId="77777777" w:rsidR="00104829" w:rsidRDefault="00104829" w:rsidP="00104829">
      <w:pPr>
        <w:pStyle w:val="BodyText"/>
        <w:spacing w:before="276"/>
        <w:ind w:left="132" w:right="315"/>
        <w:jc w:val="both"/>
      </w:pPr>
    </w:p>
    <w:p w14:paraId="0703D537" w14:textId="08AED1C6" w:rsidR="00104829" w:rsidRDefault="00104829" w:rsidP="00104829">
      <w:pPr>
        <w:rPr>
          <w:sz w:val="24"/>
          <w:szCs w:val="24"/>
        </w:rPr>
      </w:pPr>
    </w:p>
    <w:p w14:paraId="7CBECADC" w14:textId="77777777" w:rsidR="00104829" w:rsidRPr="00203339" w:rsidRDefault="00104829" w:rsidP="00104829">
      <w:pPr>
        <w:pStyle w:val="BodyText"/>
        <w:spacing w:before="243"/>
        <w:ind w:left="254"/>
        <w:rPr>
          <w:b/>
        </w:rPr>
      </w:pPr>
      <w:r w:rsidRPr="00203339">
        <w:rPr>
          <w:b/>
        </w:rPr>
        <w:t>Harta</w:t>
      </w:r>
      <w:r w:rsidRPr="00203339">
        <w:rPr>
          <w:b/>
          <w:spacing w:val="-5"/>
        </w:rPr>
        <w:t xml:space="preserve"> </w:t>
      </w:r>
      <w:r w:rsidRPr="00203339">
        <w:rPr>
          <w:b/>
        </w:rPr>
        <w:t>1.</w:t>
      </w:r>
      <w:r w:rsidRPr="00203339">
        <w:rPr>
          <w:b/>
          <w:spacing w:val="2"/>
        </w:rPr>
        <w:t xml:space="preserve"> </w:t>
      </w:r>
      <w:r w:rsidRPr="00203339">
        <w:rPr>
          <w:b/>
        </w:rPr>
        <w:t>Zonat</w:t>
      </w:r>
      <w:r w:rsidRPr="00203339">
        <w:rPr>
          <w:b/>
          <w:spacing w:val="-1"/>
        </w:rPr>
        <w:t xml:space="preserve"> </w:t>
      </w:r>
      <w:r w:rsidRPr="00203339">
        <w:rPr>
          <w:b/>
        </w:rPr>
        <w:t>Kadastrale</w:t>
      </w:r>
      <w:r w:rsidRPr="00203339">
        <w:rPr>
          <w:b/>
          <w:spacing w:val="-1"/>
        </w:rPr>
        <w:t xml:space="preserve"> </w:t>
      </w:r>
      <w:r w:rsidRPr="00203339">
        <w:rPr>
          <w:b/>
        </w:rPr>
        <w:t>(Z. K.)</w:t>
      </w:r>
      <w:r w:rsidRPr="00203339">
        <w:rPr>
          <w:b/>
          <w:spacing w:val="-3"/>
        </w:rPr>
        <w:t xml:space="preserve"> </w:t>
      </w:r>
      <w:r w:rsidRPr="00203339">
        <w:rPr>
          <w:b/>
        </w:rPr>
        <w:t>dhe</w:t>
      </w:r>
      <w:r w:rsidRPr="00203339">
        <w:rPr>
          <w:b/>
          <w:spacing w:val="-1"/>
        </w:rPr>
        <w:t xml:space="preserve"> </w:t>
      </w:r>
      <w:r w:rsidRPr="00203339">
        <w:rPr>
          <w:b/>
        </w:rPr>
        <w:t>numri i</w:t>
      </w:r>
      <w:r w:rsidRPr="00203339">
        <w:rPr>
          <w:b/>
          <w:spacing w:val="-1"/>
        </w:rPr>
        <w:t xml:space="preserve"> </w:t>
      </w:r>
      <w:r w:rsidRPr="00203339">
        <w:rPr>
          <w:b/>
        </w:rPr>
        <w:t>tabelave</w:t>
      </w:r>
      <w:r w:rsidRPr="00203339">
        <w:rPr>
          <w:b/>
          <w:spacing w:val="-2"/>
        </w:rPr>
        <w:t xml:space="preserve"> </w:t>
      </w:r>
      <w:r w:rsidRPr="00203339">
        <w:rPr>
          <w:b/>
        </w:rPr>
        <w:t>për</w:t>
      </w:r>
      <w:r w:rsidRPr="00203339">
        <w:rPr>
          <w:b/>
          <w:spacing w:val="1"/>
        </w:rPr>
        <w:t xml:space="preserve"> </w:t>
      </w:r>
      <w:r w:rsidRPr="00203339">
        <w:rPr>
          <w:b/>
        </w:rPr>
        <w:t>emërtime</w:t>
      </w:r>
      <w:r w:rsidRPr="00203339">
        <w:rPr>
          <w:b/>
          <w:spacing w:val="-1"/>
        </w:rPr>
        <w:t xml:space="preserve"> </w:t>
      </w:r>
      <w:r w:rsidRPr="00203339">
        <w:rPr>
          <w:b/>
        </w:rPr>
        <w:t>të</w:t>
      </w:r>
      <w:r w:rsidRPr="00203339">
        <w:rPr>
          <w:b/>
          <w:spacing w:val="-1"/>
        </w:rPr>
        <w:t xml:space="preserve"> </w:t>
      </w:r>
      <w:r w:rsidRPr="00203339">
        <w:rPr>
          <w:b/>
        </w:rPr>
        <w:t>rrugëve</w:t>
      </w:r>
      <w:r w:rsidRPr="00203339">
        <w:rPr>
          <w:b/>
          <w:spacing w:val="-1"/>
        </w:rPr>
        <w:t xml:space="preserve"> </w:t>
      </w:r>
      <w:r w:rsidRPr="00203339">
        <w:rPr>
          <w:b/>
        </w:rPr>
        <w:t>të</w:t>
      </w:r>
      <w:r w:rsidRPr="00203339">
        <w:rPr>
          <w:b/>
          <w:spacing w:val="-1"/>
        </w:rPr>
        <w:t xml:space="preserve"> </w:t>
      </w:r>
      <w:r w:rsidRPr="00203339">
        <w:rPr>
          <w:b/>
        </w:rPr>
        <w:t>dedikuara</w:t>
      </w:r>
      <w:r w:rsidRPr="00203339">
        <w:rPr>
          <w:b/>
          <w:spacing w:val="-2"/>
        </w:rPr>
        <w:t xml:space="preserve"> </w:t>
      </w:r>
      <w:r w:rsidRPr="00203339">
        <w:rPr>
          <w:b/>
        </w:rPr>
        <w:t xml:space="preserve">për </w:t>
      </w:r>
      <w:r w:rsidRPr="00203339">
        <w:rPr>
          <w:b/>
          <w:spacing w:val="-2"/>
        </w:rPr>
        <w:t>vendosje</w:t>
      </w:r>
    </w:p>
    <w:p w14:paraId="35B25613" w14:textId="77777777" w:rsidR="00104829" w:rsidRDefault="00104829" w:rsidP="00104829">
      <w:pPr>
        <w:rPr>
          <w:sz w:val="24"/>
          <w:szCs w:val="24"/>
        </w:rPr>
        <w:sectPr w:rsidR="00104829">
          <w:pgSz w:w="12240" w:h="15840"/>
          <w:pgMar w:top="820" w:right="720" w:bottom="1180" w:left="720" w:header="0" w:footer="987" w:gutter="0"/>
          <w:pgNumType w:start="1"/>
          <w:cols w:space="720"/>
        </w:sectPr>
      </w:pPr>
    </w:p>
    <w:p w14:paraId="49EB5283" w14:textId="5F2193A6" w:rsidR="00CB229A" w:rsidRPr="00CB229A" w:rsidRDefault="00203339" w:rsidP="00203339">
      <w:pPr>
        <w:spacing w:after="0" w:line="276" w:lineRule="auto"/>
        <w:ind w:lef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CB229A" w:rsidRPr="00CB229A">
        <w:rPr>
          <w:rFonts w:ascii="Times New Roman" w:hAnsi="Times New Roman" w:cs="Times New Roman"/>
          <w:sz w:val="24"/>
          <w:szCs w:val="24"/>
        </w:rPr>
        <w:t>Re</w:t>
      </w:r>
      <w:r w:rsidR="00CB229A">
        <w:rPr>
          <w:rFonts w:ascii="Times New Roman" w:hAnsi="Times New Roman" w:cs="Times New Roman"/>
          <w:sz w:val="24"/>
          <w:szCs w:val="24"/>
        </w:rPr>
        <w:t>alizimi i këtyre ak</w:t>
      </w:r>
      <w:r>
        <w:rPr>
          <w:rFonts w:ascii="Times New Roman" w:hAnsi="Times New Roman" w:cs="Times New Roman"/>
          <w:sz w:val="24"/>
          <w:szCs w:val="24"/>
        </w:rPr>
        <w:t>tiviteteve ka rezultuar me efek</w:t>
      </w:r>
      <w:r w:rsidR="00CB229A">
        <w:rPr>
          <w:rFonts w:ascii="Times New Roman" w:hAnsi="Times New Roman" w:cs="Times New Roman"/>
          <w:sz w:val="24"/>
          <w:szCs w:val="24"/>
        </w:rPr>
        <w:t>tin financiar të prezentuar në formën tabelare të më sipërme dhe relacionet e prezentuara edhe në formë të grafikoneve në vazhdim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18557716" w14:textId="77777777" w:rsidR="00A90093" w:rsidRPr="006C177E" w:rsidRDefault="00A90093" w:rsidP="0020333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Style w:val="GridTable1Light-Accent4"/>
        <w:tblpPr w:leftFromText="180" w:rightFromText="180" w:horzAnchor="margin" w:tblpXSpec="center" w:tblpY="-375"/>
        <w:tblW w:w="11128" w:type="dxa"/>
        <w:tblLook w:val="04A0" w:firstRow="1" w:lastRow="0" w:firstColumn="1" w:lastColumn="0" w:noHBand="0" w:noVBand="1"/>
      </w:tblPr>
      <w:tblGrid>
        <w:gridCol w:w="439"/>
        <w:gridCol w:w="3200"/>
        <w:gridCol w:w="1778"/>
        <w:gridCol w:w="1422"/>
        <w:gridCol w:w="1534"/>
        <w:gridCol w:w="1422"/>
        <w:gridCol w:w="1333"/>
      </w:tblGrid>
      <w:tr w:rsidR="00DB7E7A" w:rsidRPr="007E5598" w14:paraId="41AB37F4" w14:textId="77777777" w:rsidTr="002033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</w:tcPr>
          <w:p w14:paraId="21C6457C" w14:textId="77777777" w:rsidR="00DB7E7A" w:rsidRPr="00AF0E5C" w:rsidRDefault="00DB7E7A" w:rsidP="00291FDD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noWrap/>
          </w:tcPr>
          <w:p w14:paraId="4E646C41" w14:textId="77777777" w:rsidR="00DB7E7A" w:rsidRPr="00AF0E5C" w:rsidRDefault="00DB7E7A" w:rsidP="00291F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78" w:type="dxa"/>
            <w:noWrap/>
            <w:hideMark/>
          </w:tcPr>
          <w:p w14:paraId="7D99DB04" w14:textId="77777777" w:rsidR="00DB7E7A" w:rsidRPr="00AF0E5C" w:rsidRDefault="00DB7E7A" w:rsidP="00291F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sz w:val="24"/>
                <w:szCs w:val="24"/>
              </w:rPr>
            </w:pPr>
            <w:r w:rsidRPr="00AF0E5C">
              <w:rPr>
                <w:rFonts w:eastAsia="Times New Roman" w:cs="Times New Roman"/>
                <w:sz w:val="24"/>
                <w:szCs w:val="24"/>
              </w:rPr>
              <w:t xml:space="preserve">Realizimi Janar – </w:t>
            </w:r>
            <w:r>
              <w:rPr>
                <w:rFonts w:eastAsia="Times New Roman" w:cs="Times New Roman"/>
                <w:sz w:val="24"/>
                <w:szCs w:val="24"/>
              </w:rPr>
              <w:t>Dhjetor</w:t>
            </w:r>
            <w:r w:rsidRPr="00AF0E5C">
              <w:rPr>
                <w:rFonts w:eastAsia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1422" w:type="dxa"/>
            <w:noWrap/>
            <w:hideMark/>
          </w:tcPr>
          <w:p w14:paraId="12742DC1" w14:textId="77777777" w:rsidR="00DB7E7A" w:rsidRPr="00AF0E5C" w:rsidRDefault="00DB7E7A" w:rsidP="00291F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sz w:val="24"/>
                <w:szCs w:val="24"/>
              </w:rPr>
            </w:pPr>
            <w:r w:rsidRPr="00AF0E5C">
              <w:rPr>
                <w:rFonts w:eastAsia="Times New Roman" w:cs="Times New Roman"/>
                <w:sz w:val="24"/>
                <w:szCs w:val="24"/>
              </w:rPr>
              <w:t>Planifikimi 2024</w:t>
            </w:r>
          </w:p>
        </w:tc>
        <w:tc>
          <w:tcPr>
            <w:tcW w:w="1534" w:type="dxa"/>
            <w:noWrap/>
            <w:hideMark/>
          </w:tcPr>
          <w:p w14:paraId="0E0BFDFD" w14:textId="77777777" w:rsidR="00DB7E7A" w:rsidRDefault="00DB7E7A" w:rsidP="00291F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sz w:val="24"/>
                <w:szCs w:val="24"/>
              </w:rPr>
            </w:pPr>
            <w:r w:rsidRPr="00AF0E5C">
              <w:rPr>
                <w:rFonts w:eastAsia="Times New Roman" w:cs="Times New Roman"/>
                <w:sz w:val="24"/>
                <w:szCs w:val="24"/>
              </w:rPr>
              <w:t xml:space="preserve">Realizimi Janar – </w:t>
            </w:r>
            <w:r>
              <w:rPr>
                <w:rFonts w:eastAsia="Times New Roman" w:cs="Times New Roman"/>
                <w:sz w:val="24"/>
                <w:szCs w:val="24"/>
              </w:rPr>
              <w:t>Dhjetor</w:t>
            </w:r>
            <w:r w:rsidRPr="00AF0E5C">
              <w:rPr>
                <w:rFonts w:eastAsia="Times New Roman" w:cs="Times New Roman"/>
                <w:sz w:val="24"/>
                <w:szCs w:val="24"/>
              </w:rPr>
              <w:t xml:space="preserve"> 2</w:t>
            </w:r>
          </w:p>
          <w:p w14:paraId="7D1B8136" w14:textId="77777777" w:rsidR="00DB7E7A" w:rsidRPr="00AF0E5C" w:rsidRDefault="00DB7E7A" w:rsidP="00291F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sz w:val="24"/>
                <w:szCs w:val="24"/>
              </w:rPr>
            </w:pPr>
            <w:r w:rsidRPr="00AF0E5C">
              <w:rPr>
                <w:rFonts w:eastAsia="Times New Roman" w:cs="Times New Roman"/>
                <w:sz w:val="24"/>
                <w:szCs w:val="24"/>
              </w:rPr>
              <w:t>024</w:t>
            </w:r>
          </w:p>
        </w:tc>
        <w:tc>
          <w:tcPr>
            <w:tcW w:w="1422" w:type="dxa"/>
            <w:noWrap/>
            <w:hideMark/>
          </w:tcPr>
          <w:p w14:paraId="2338FE90" w14:textId="77777777" w:rsidR="00DB7E7A" w:rsidRPr="00E05968" w:rsidRDefault="00DB7E7A" w:rsidP="00291F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E0596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E05968">
              <w:rPr>
                <w:rFonts w:cstheme="minorHAnsi"/>
                <w:sz w:val="20"/>
              </w:rPr>
              <w:t xml:space="preserve">% e realizimit në periudhën Janar – </w:t>
            </w:r>
            <w:r>
              <w:rPr>
                <w:rFonts w:cstheme="minorHAnsi"/>
                <w:sz w:val="20"/>
              </w:rPr>
              <w:t>Dhjetor</w:t>
            </w:r>
            <w:r w:rsidRPr="00E05968">
              <w:rPr>
                <w:rFonts w:cstheme="minorHAnsi"/>
                <w:sz w:val="20"/>
              </w:rPr>
              <w:t xml:space="preserve"> 2024 në raport me periudh</w:t>
            </w:r>
            <w:r>
              <w:rPr>
                <w:rFonts w:cstheme="minorHAnsi"/>
                <w:sz w:val="20"/>
              </w:rPr>
              <w:t>ë</w:t>
            </w:r>
            <w:r w:rsidRPr="00E05968">
              <w:rPr>
                <w:rFonts w:cstheme="minorHAnsi"/>
                <w:sz w:val="20"/>
              </w:rPr>
              <w:t>n Janar</w:t>
            </w:r>
            <w:r>
              <w:rPr>
                <w:rFonts w:cstheme="minorHAnsi"/>
                <w:sz w:val="20"/>
              </w:rPr>
              <w:t>-</w:t>
            </w:r>
            <w:r w:rsidRPr="00E05968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 xml:space="preserve">Dhjetor </w:t>
            </w:r>
            <w:r w:rsidRPr="00E05968">
              <w:rPr>
                <w:rFonts w:cstheme="minorHAnsi"/>
                <w:sz w:val="20"/>
              </w:rPr>
              <w:t>2023</w:t>
            </w:r>
          </w:p>
        </w:tc>
        <w:tc>
          <w:tcPr>
            <w:tcW w:w="1333" w:type="dxa"/>
            <w:noWrap/>
            <w:hideMark/>
          </w:tcPr>
          <w:p w14:paraId="5C8A9D39" w14:textId="77777777" w:rsidR="00DB7E7A" w:rsidRPr="00E05968" w:rsidRDefault="00DB7E7A" w:rsidP="00291FD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E05968">
              <w:rPr>
                <w:rFonts w:cstheme="minorHAnsi"/>
                <w:sz w:val="20"/>
              </w:rPr>
              <w:t>% e realizimit në periudhën Janar -</w:t>
            </w:r>
            <w:r>
              <w:rPr>
                <w:rFonts w:cstheme="minorHAnsi"/>
                <w:sz w:val="20"/>
              </w:rPr>
              <w:t xml:space="preserve"> Dhjetor</w:t>
            </w:r>
            <w:r w:rsidRPr="00E05968">
              <w:rPr>
                <w:rFonts w:cstheme="minorHAnsi"/>
                <w:sz w:val="20"/>
              </w:rPr>
              <w:t xml:space="preserve"> të vitit 2024 në raport me planin për vitin 2024</w:t>
            </w:r>
          </w:p>
          <w:p w14:paraId="4CBE756A" w14:textId="77777777" w:rsidR="00DB7E7A" w:rsidRPr="00E05968" w:rsidRDefault="00DB7E7A" w:rsidP="00291F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DB7E7A" w:rsidRPr="007E5598" w14:paraId="53DCA3BC" w14:textId="77777777" w:rsidTr="00203339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14:paraId="608E5A50" w14:textId="77777777" w:rsidR="00DB7E7A" w:rsidRPr="00AF0E5C" w:rsidRDefault="00DB7E7A" w:rsidP="00291FDD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noWrap/>
            <w:hideMark/>
          </w:tcPr>
          <w:p w14:paraId="502BA4A0" w14:textId="77777777" w:rsidR="00DB7E7A" w:rsidRPr="00AF0E5C" w:rsidRDefault="00DB7E7A" w:rsidP="00291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F0E5C">
              <w:rPr>
                <w:rFonts w:eastAsia="Times New Roman" w:cs="Times New Roman"/>
                <w:b/>
                <w:bCs/>
                <w:sz w:val="24"/>
                <w:szCs w:val="24"/>
              </w:rPr>
              <w:t>TË HYRAT</w:t>
            </w:r>
          </w:p>
        </w:tc>
        <w:tc>
          <w:tcPr>
            <w:tcW w:w="1778" w:type="dxa"/>
            <w:noWrap/>
            <w:hideMark/>
          </w:tcPr>
          <w:p w14:paraId="355767BD" w14:textId="77777777" w:rsidR="00DB7E7A" w:rsidRPr="00AF0E5C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  <w:noWrap/>
            <w:hideMark/>
          </w:tcPr>
          <w:p w14:paraId="7533A0CA" w14:textId="77777777" w:rsidR="00DB7E7A" w:rsidRPr="00AF0E5C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noWrap/>
            <w:hideMark/>
          </w:tcPr>
          <w:p w14:paraId="58AC4B22" w14:textId="77777777" w:rsidR="00DB7E7A" w:rsidRPr="00AF0E5C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  <w:noWrap/>
            <w:hideMark/>
          </w:tcPr>
          <w:p w14:paraId="64CB4AF7" w14:textId="77777777" w:rsidR="00DB7E7A" w:rsidRPr="00AF0E5C" w:rsidRDefault="00DB7E7A" w:rsidP="00291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AF0E5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dxa"/>
            <w:noWrap/>
            <w:hideMark/>
          </w:tcPr>
          <w:p w14:paraId="6607C9FC" w14:textId="77777777" w:rsidR="00DB7E7A" w:rsidRPr="00AF0E5C" w:rsidRDefault="00DB7E7A" w:rsidP="00291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AF0E5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DB7E7A" w:rsidRPr="007E5598" w14:paraId="7CC3950B" w14:textId="77777777" w:rsidTr="00203339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14:paraId="52823F4F" w14:textId="77777777" w:rsidR="00DB7E7A" w:rsidRPr="00AF0E5C" w:rsidRDefault="00DB7E7A" w:rsidP="00291FDD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F0E5C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200" w:type="dxa"/>
            <w:noWrap/>
            <w:hideMark/>
          </w:tcPr>
          <w:p w14:paraId="69C395A2" w14:textId="77777777" w:rsidR="00DB7E7A" w:rsidRPr="00AF0E5C" w:rsidRDefault="00DB7E7A" w:rsidP="00291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AF0E5C">
              <w:rPr>
                <w:rFonts w:eastAsia="Times New Roman" w:cs="Times New Roman"/>
                <w:sz w:val="24"/>
                <w:szCs w:val="24"/>
              </w:rPr>
              <w:t>Të Hyrat nga Lejet Ndërtimore</w:t>
            </w:r>
          </w:p>
        </w:tc>
        <w:tc>
          <w:tcPr>
            <w:tcW w:w="1778" w:type="dxa"/>
            <w:noWrap/>
            <w:vAlign w:val="bottom"/>
            <w:hideMark/>
          </w:tcPr>
          <w:p w14:paraId="0F506330" w14:textId="77777777" w:rsidR="00DB7E7A" w:rsidRPr="007C577B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7C577B">
              <w:rPr>
                <w:rFonts w:cstheme="minorHAnsi"/>
                <w:sz w:val="24"/>
                <w:szCs w:val="24"/>
              </w:rPr>
              <w:t xml:space="preserve">         1,588,520.88 </w:t>
            </w:r>
          </w:p>
        </w:tc>
        <w:tc>
          <w:tcPr>
            <w:tcW w:w="1422" w:type="dxa"/>
            <w:noWrap/>
            <w:hideMark/>
          </w:tcPr>
          <w:p w14:paraId="19F9DB2B" w14:textId="77777777" w:rsidR="00DB7E7A" w:rsidRPr="00AF0E5C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AF0E5C">
              <w:rPr>
                <w:rFonts w:eastAsia="Times New Roman" w:cs="Times New Roman"/>
                <w:sz w:val="24"/>
                <w:szCs w:val="24"/>
              </w:rPr>
              <w:t xml:space="preserve">               757,000.00 </w:t>
            </w:r>
          </w:p>
        </w:tc>
        <w:tc>
          <w:tcPr>
            <w:tcW w:w="1534" w:type="dxa"/>
            <w:noWrap/>
            <w:vAlign w:val="bottom"/>
            <w:hideMark/>
          </w:tcPr>
          <w:p w14:paraId="2159B2FA" w14:textId="77777777" w:rsidR="00DB7E7A" w:rsidRPr="007C577B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C577B">
              <w:rPr>
                <w:sz w:val="24"/>
                <w:szCs w:val="24"/>
              </w:rPr>
              <w:t xml:space="preserve">      1,111,497.26 </w:t>
            </w:r>
          </w:p>
        </w:tc>
        <w:tc>
          <w:tcPr>
            <w:tcW w:w="1422" w:type="dxa"/>
            <w:noWrap/>
            <w:hideMark/>
          </w:tcPr>
          <w:p w14:paraId="0933D6B3" w14:textId="77777777" w:rsidR="00DB7E7A" w:rsidRPr="00AF0E5C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br/>
              <w:t xml:space="preserve">70 </w:t>
            </w:r>
            <w:r w:rsidRPr="00AF0E5C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1333" w:type="dxa"/>
            <w:noWrap/>
            <w:hideMark/>
          </w:tcPr>
          <w:p w14:paraId="24C03525" w14:textId="77777777" w:rsidR="00DB7E7A" w:rsidRPr="00AF0E5C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br/>
              <w:t xml:space="preserve">147 </w:t>
            </w:r>
            <w:r w:rsidRPr="00AF0E5C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</w:tr>
      <w:tr w:rsidR="00DB7E7A" w:rsidRPr="007E5598" w14:paraId="53A14F00" w14:textId="77777777" w:rsidTr="00203339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14:paraId="7639C792" w14:textId="77777777" w:rsidR="00DB7E7A" w:rsidRPr="00AF0E5C" w:rsidRDefault="00DB7E7A" w:rsidP="00291FDD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F0E5C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200" w:type="dxa"/>
            <w:noWrap/>
            <w:hideMark/>
          </w:tcPr>
          <w:p w14:paraId="21AA208E" w14:textId="77777777" w:rsidR="00DB7E7A" w:rsidRPr="00AF0E5C" w:rsidRDefault="00DB7E7A" w:rsidP="00291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AF0E5C">
              <w:rPr>
                <w:rFonts w:eastAsia="Times New Roman" w:cs="Times New Roman"/>
                <w:sz w:val="24"/>
                <w:szCs w:val="24"/>
              </w:rPr>
              <w:t>Të Hyrat nga Taksat - Kërkesat</w:t>
            </w:r>
          </w:p>
        </w:tc>
        <w:tc>
          <w:tcPr>
            <w:tcW w:w="1778" w:type="dxa"/>
            <w:noWrap/>
            <w:vAlign w:val="bottom"/>
            <w:hideMark/>
          </w:tcPr>
          <w:p w14:paraId="16AFAC73" w14:textId="77777777" w:rsidR="00DB7E7A" w:rsidRPr="007C577B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7C577B">
              <w:rPr>
                <w:rFonts w:cstheme="minorHAnsi"/>
                <w:sz w:val="24"/>
                <w:szCs w:val="24"/>
              </w:rPr>
              <w:t xml:space="preserve">                1,833.00 </w:t>
            </w:r>
          </w:p>
        </w:tc>
        <w:tc>
          <w:tcPr>
            <w:tcW w:w="1422" w:type="dxa"/>
            <w:noWrap/>
            <w:hideMark/>
          </w:tcPr>
          <w:p w14:paraId="6C77687A" w14:textId="77777777" w:rsidR="00DB7E7A" w:rsidRPr="00AF0E5C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AF0E5C">
              <w:rPr>
                <w:rFonts w:eastAsia="Times New Roman" w:cs="Times New Roman"/>
                <w:sz w:val="24"/>
                <w:szCs w:val="24"/>
              </w:rPr>
              <w:t xml:space="preserve">                   2,000.00 </w:t>
            </w:r>
          </w:p>
        </w:tc>
        <w:tc>
          <w:tcPr>
            <w:tcW w:w="1534" w:type="dxa"/>
            <w:noWrap/>
            <w:vAlign w:val="bottom"/>
            <w:hideMark/>
          </w:tcPr>
          <w:p w14:paraId="3BF01312" w14:textId="77777777" w:rsidR="00DB7E7A" w:rsidRPr="007C577B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C577B">
              <w:rPr>
                <w:sz w:val="24"/>
                <w:szCs w:val="24"/>
              </w:rPr>
              <w:t xml:space="preserve">             2,329.00 </w:t>
            </w:r>
          </w:p>
        </w:tc>
        <w:tc>
          <w:tcPr>
            <w:tcW w:w="1422" w:type="dxa"/>
            <w:noWrap/>
            <w:hideMark/>
          </w:tcPr>
          <w:p w14:paraId="04187209" w14:textId="77777777" w:rsidR="00DB7E7A" w:rsidRPr="00AF0E5C" w:rsidRDefault="00DB7E7A" w:rsidP="00291FDD">
            <w:pPr>
              <w:tabs>
                <w:tab w:val="center" w:pos="612"/>
                <w:tab w:val="right" w:pos="1224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ab/>
            </w:r>
            <w:r>
              <w:rPr>
                <w:rFonts w:eastAsia="Times New Roman" w:cs="Times New Roman"/>
                <w:sz w:val="24"/>
                <w:szCs w:val="24"/>
              </w:rPr>
              <w:br/>
            </w:r>
            <w:r>
              <w:rPr>
                <w:rFonts w:eastAsia="Times New Roman" w:cs="Times New Roman"/>
                <w:sz w:val="24"/>
                <w:szCs w:val="24"/>
              </w:rPr>
              <w:tab/>
            </w:r>
            <w:r w:rsidRPr="00AF0E5C">
              <w:rPr>
                <w:rFonts w:eastAsia="Times New Roman" w:cs="Times New Roman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27 </w:t>
            </w:r>
            <w:r w:rsidRPr="00AF0E5C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1333" w:type="dxa"/>
            <w:noWrap/>
            <w:hideMark/>
          </w:tcPr>
          <w:p w14:paraId="38DB643D" w14:textId="77777777" w:rsidR="00DB7E7A" w:rsidRPr="00AF0E5C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br/>
            </w:r>
            <w:r w:rsidRPr="00AF0E5C">
              <w:rPr>
                <w:rFonts w:eastAsia="Times New Roman" w:cs="Times New Roman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16 </w:t>
            </w:r>
            <w:r w:rsidRPr="00AF0E5C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</w:tr>
      <w:tr w:rsidR="00DB7E7A" w:rsidRPr="007E5598" w14:paraId="1F91B16B" w14:textId="77777777" w:rsidTr="00203339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14:paraId="6E60A0D8" w14:textId="77777777" w:rsidR="00DB7E7A" w:rsidRPr="00AF0E5C" w:rsidRDefault="00DB7E7A" w:rsidP="00291FDD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F0E5C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200" w:type="dxa"/>
            <w:noWrap/>
            <w:hideMark/>
          </w:tcPr>
          <w:p w14:paraId="0C076340" w14:textId="77777777" w:rsidR="00DB7E7A" w:rsidRPr="00AF0E5C" w:rsidRDefault="00DB7E7A" w:rsidP="00291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AF0E5C">
              <w:rPr>
                <w:rFonts w:eastAsia="Times New Roman" w:cs="Times New Roman"/>
                <w:sz w:val="24"/>
                <w:szCs w:val="24"/>
              </w:rPr>
              <w:t>Të Hyrat nga Legalizimet</w:t>
            </w:r>
          </w:p>
        </w:tc>
        <w:tc>
          <w:tcPr>
            <w:tcW w:w="1778" w:type="dxa"/>
            <w:noWrap/>
            <w:vAlign w:val="bottom"/>
            <w:hideMark/>
          </w:tcPr>
          <w:p w14:paraId="12774D91" w14:textId="77777777" w:rsidR="00DB7E7A" w:rsidRPr="007C577B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7C577B">
              <w:rPr>
                <w:rFonts w:cstheme="minorHAnsi"/>
                <w:sz w:val="24"/>
                <w:szCs w:val="24"/>
              </w:rPr>
              <w:t xml:space="preserve">              64,518.27 </w:t>
            </w:r>
          </w:p>
        </w:tc>
        <w:tc>
          <w:tcPr>
            <w:tcW w:w="1422" w:type="dxa"/>
            <w:noWrap/>
            <w:hideMark/>
          </w:tcPr>
          <w:p w14:paraId="05E779D0" w14:textId="77777777" w:rsidR="00DB7E7A" w:rsidRPr="00AF0E5C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AF0E5C">
              <w:rPr>
                <w:rFonts w:eastAsia="Times New Roman" w:cs="Times New Roman"/>
                <w:sz w:val="24"/>
                <w:szCs w:val="24"/>
              </w:rPr>
              <w:t xml:space="preserve">                 31,000.00 </w:t>
            </w:r>
          </w:p>
        </w:tc>
        <w:tc>
          <w:tcPr>
            <w:tcW w:w="1534" w:type="dxa"/>
            <w:noWrap/>
            <w:vAlign w:val="bottom"/>
            <w:hideMark/>
          </w:tcPr>
          <w:p w14:paraId="1C38D4A4" w14:textId="77777777" w:rsidR="00DB7E7A" w:rsidRPr="007C577B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C577B">
              <w:rPr>
                <w:sz w:val="24"/>
                <w:szCs w:val="24"/>
              </w:rPr>
              <w:t xml:space="preserve">           38,781.11 </w:t>
            </w:r>
          </w:p>
        </w:tc>
        <w:tc>
          <w:tcPr>
            <w:tcW w:w="1422" w:type="dxa"/>
            <w:noWrap/>
            <w:hideMark/>
          </w:tcPr>
          <w:p w14:paraId="4B425445" w14:textId="77777777" w:rsidR="00DB7E7A" w:rsidRPr="00AF0E5C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br/>
            </w:r>
            <w:r w:rsidRPr="00AF0E5C">
              <w:rPr>
                <w:rFonts w:eastAsia="Times New Roman" w:cs="Times New Roman"/>
                <w:sz w:val="24"/>
                <w:szCs w:val="24"/>
              </w:rPr>
              <w:t>6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0 </w:t>
            </w:r>
            <w:r w:rsidRPr="00AF0E5C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1333" w:type="dxa"/>
            <w:noWrap/>
            <w:hideMark/>
          </w:tcPr>
          <w:p w14:paraId="4AA7B9DA" w14:textId="77777777" w:rsidR="00DB7E7A" w:rsidRPr="00AF0E5C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br/>
            </w:r>
            <w:r w:rsidRPr="00AF0E5C">
              <w:rPr>
                <w:rFonts w:eastAsia="Times New Roman" w:cs="Times New Roman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25 </w:t>
            </w:r>
            <w:r w:rsidRPr="00AF0E5C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</w:tr>
      <w:tr w:rsidR="00DB7E7A" w:rsidRPr="007E5598" w14:paraId="100E2156" w14:textId="77777777" w:rsidTr="00203339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14:paraId="33502BD1" w14:textId="77777777" w:rsidR="00DB7E7A" w:rsidRPr="00AF0E5C" w:rsidRDefault="00DB7E7A" w:rsidP="00291FDD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F0E5C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200" w:type="dxa"/>
            <w:noWrap/>
            <w:hideMark/>
          </w:tcPr>
          <w:p w14:paraId="25ADB184" w14:textId="77777777" w:rsidR="00DB7E7A" w:rsidRPr="00AF0E5C" w:rsidRDefault="00DB7E7A" w:rsidP="00291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AF0E5C">
              <w:rPr>
                <w:rFonts w:eastAsia="Times New Roman" w:cs="Times New Roman"/>
                <w:sz w:val="24"/>
                <w:szCs w:val="24"/>
              </w:rPr>
              <w:t>Të Hyrat nga Lejet Mjedisore</w:t>
            </w:r>
          </w:p>
        </w:tc>
        <w:tc>
          <w:tcPr>
            <w:tcW w:w="1778" w:type="dxa"/>
            <w:noWrap/>
            <w:vAlign w:val="bottom"/>
            <w:hideMark/>
          </w:tcPr>
          <w:p w14:paraId="137FDE76" w14:textId="77777777" w:rsidR="00DB7E7A" w:rsidRPr="007C577B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7C577B">
              <w:rPr>
                <w:rFonts w:cstheme="minorHAnsi"/>
                <w:sz w:val="24"/>
                <w:szCs w:val="24"/>
              </w:rPr>
              <w:t xml:space="preserve">            142,113.00 </w:t>
            </w:r>
          </w:p>
        </w:tc>
        <w:tc>
          <w:tcPr>
            <w:tcW w:w="1422" w:type="dxa"/>
            <w:noWrap/>
            <w:hideMark/>
          </w:tcPr>
          <w:p w14:paraId="2B860F9D" w14:textId="77777777" w:rsidR="00DB7E7A" w:rsidRPr="00AF0E5C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AF0E5C">
              <w:rPr>
                <w:rFonts w:eastAsia="Times New Roman" w:cs="Times New Roman"/>
                <w:sz w:val="24"/>
                <w:szCs w:val="24"/>
              </w:rPr>
              <w:t xml:space="preserve">                 65,000.00 </w:t>
            </w:r>
          </w:p>
        </w:tc>
        <w:tc>
          <w:tcPr>
            <w:tcW w:w="1534" w:type="dxa"/>
            <w:noWrap/>
            <w:vAlign w:val="bottom"/>
            <w:hideMark/>
          </w:tcPr>
          <w:p w14:paraId="5111BD18" w14:textId="77777777" w:rsidR="00DB7E7A" w:rsidRPr="007C577B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C577B">
              <w:rPr>
                <w:sz w:val="24"/>
                <w:szCs w:val="24"/>
              </w:rPr>
              <w:t xml:space="preserve">         135,682.80 </w:t>
            </w:r>
          </w:p>
        </w:tc>
        <w:tc>
          <w:tcPr>
            <w:tcW w:w="1422" w:type="dxa"/>
            <w:noWrap/>
            <w:hideMark/>
          </w:tcPr>
          <w:p w14:paraId="3090315D" w14:textId="77777777" w:rsidR="00DB7E7A" w:rsidRPr="00AF0E5C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br/>
              <w:t xml:space="preserve">95 </w:t>
            </w:r>
            <w:r w:rsidRPr="00AF0E5C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1333" w:type="dxa"/>
            <w:noWrap/>
            <w:hideMark/>
          </w:tcPr>
          <w:p w14:paraId="26C288FD" w14:textId="77777777" w:rsidR="00DB7E7A" w:rsidRPr="00AF0E5C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br/>
              <w:t xml:space="preserve">209 </w:t>
            </w:r>
            <w:r w:rsidRPr="00AF0E5C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</w:tr>
      <w:tr w:rsidR="00DB7E7A" w:rsidRPr="007E5598" w14:paraId="411AA9D9" w14:textId="77777777" w:rsidTr="00203339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14:paraId="0921A867" w14:textId="77777777" w:rsidR="00DB7E7A" w:rsidRPr="00AF0E5C" w:rsidRDefault="00DB7E7A" w:rsidP="00291FDD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F0E5C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200" w:type="dxa"/>
            <w:noWrap/>
            <w:hideMark/>
          </w:tcPr>
          <w:p w14:paraId="6B4627D2" w14:textId="77777777" w:rsidR="00DB7E7A" w:rsidRPr="00AF0E5C" w:rsidRDefault="00DB7E7A" w:rsidP="00291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AF0E5C">
              <w:rPr>
                <w:rFonts w:eastAsia="Times New Roman" w:cs="Times New Roman"/>
                <w:sz w:val="24"/>
                <w:szCs w:val="24"/>
              </w:rPr>
              <w:t>Të Hyrat nga Rrënimet e objek.</w:t>
            </w:r>
          </w:p>
        </w:tc>
        <w:tc>
          <w:tcPr>
            <w:tcW w:w="1778" w:type="dxa"/>
            <w:noWrap/>
            <w:vAlign w:val="bottom"/>
            <w:hideMark/>
          </w:tcPr>
          <w:p w14:paraId="7D728A2A" w14:textId="77777777" w:rsidR="00DB7E7A" w:rsidRPr="007C577B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7C577B">
              <w:rPr>
                <w:rFonts w:cstheme="minorHAnsi"/>
                <w:sz w:val="24"/>
                <w:szCs w:val="24"/>
              </w:rPr>
              <w:t xml:space="preserve">                6,555.56 </w:t>
            </w:r>
          </w:p>
        </w:tc>
        <w:tc>
          <w:tcPr>
            <w:tcW w:w="1422" w:type="dxa"/>
            <w:noWrap/>
            <w:hideMark/>
          </w:tcPr>
          <w:p w14:paraId="2E2B563C" w14:textId="77777777" w:rsidR="00DB7E7A" w:rsidRPr="00AF0E5C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AF0E5C">
              <w:rPr>
                <w:rFonts w:eastAsia="Times New Roman" w:cs="Times New Roman"/>
                <w:sz w:val="24"/>
                <w:szCs w:val="24"/>
              </w:rPr>
              <w:t xml:space="preserve">                   5,000.00 </w:t>
            </w:r>
          </w:p>
        </w:tc>
        <w:tc>
          <w:tcPr>
            <w:tcW w:w="1534" w:type="dxa"/>
            <w:noWrap/>
            <w:vAlign w:val="bottom"/>
            <w:hideMark/>
          </w:tcPr>
          <w:p w14:paraId="4F9801B4" w14:textId="77777777" w:rsidR="00DB7E7A" w:rsidRPr="007C577B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C577B">
              <w:rPr>
                <w:sz w:val="24"/>
                <w:szCs w:val="24"/>
              </w:rPr>
              <w:t xml:space="preserve">             5,567.32 </w:t>
            </w:r>
          </w:p>
        </w:tc>
        <w:tc>
          <w:tcPr>
            <w:tcW w:w="1422" w:type="dxa"/>
            <w:noWrap/>
            <w:hideMark/>
          </w:tcPr>
          <w:p w14:paraId="1586424A" w14:textId="77777777" w:rsidR="00DB7E7A" w:rsidRPr="00AF0E5C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br/>
              <w:t xml:space="preserve"> 85 </w:t>
            </w:r>
            <w:r w:rsidRPr="00AF0E5C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1333" w:type="dxa"/>
            <w:noWrap/>
            <w:hideMark/>
          </w:tcPr>
          <w:p w14:paraId="5AA9D9F0" w14:textId="77777777" w:rsidR="00DB7E7A" w:rsidRPr="00AF0E5C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br/>
              <w:t>11</w:t>
            </w:r>
            <w:r w:rsidRPr="00AF0E5C">
              <w:rPr>
                <w:rFonts w:eastAsia="Times New Roman" w:cs="Times New Roman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AF0E5C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</w:tr>
      <w:tr w:rsidR="00DB7E7A" w:rsidRPr="007E5598" w14:paraId="47D3DE84" w14:textId="77777777" w:rsidTr="00203339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14:paraId="36F2C59F" w14:textId="77777777" w:rsidR="00DB7E7A" w:rsidRPr="00AF0E5C" w:rsidRDefault="00DB7E7A" w:rsidP="00291FDD">
            <w:pPr>
              <w:rPr>
                <w:rFonts w:eastAsia="Times New Roman" w:cs="Times New Roman"/>
                <w:sz w:val="24"/>
                <w:szCs w:val="24"/>
              </w:rPr>
            </w:pPr>
            <w:r w:rsidRPr="00AF0E5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0" w:type="dxa"/>
            <w:noWrap/>
            <w:hideMark/>
          </w:tcPr>
          <w:p w14:paraId="1A942BCC" w14:textId="77777777" w:rsidR="00DB7E7A" w:rsidRPr="00AF0E5C" w:rsidRDefault="00DB7E7A" w:rsidP="00291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F0E5C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Gjithsej </w:t>
            </w:r>
          </w:p>
        </w:tc>
        <w:tc>
          <w:tcPr>
            <w:tcW w:w="1778" w:type="dxa"/>
            <w:noWrap/>
            <w:hideMark/>
          </w:tcPr>
          <w:p w14:paraId="4160EC14" w14:textId="77777777" w:rsidR="00DB7E7A" w:rsidRPr="007C577B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C577B">
              <w:rPr>
                <w:rFonts w:cstheme="minorHAnsi"/>
                <w:b/>
                <w:bCs/>
              </w:rPr>
              <w:t xml:space="preserve">         </w:t>
            </w:r>
            <w:r w:rsidRPr="007C577B">
              <w:rPr>
                <w:rFonts w:cstheme="minorHAnsi"/>
                <w:b/>
                <w:bCs/>
                <w:sz w:val="24"/>
                <w:szCs w:val="24"/>
              </w:rPr>
              <w:t xml:space="preserve">1,803,540.71 </w:t>
            </w:r>
          </w:p>
        </w:tc>
        <w:tc>
          <w:tcPr>
            <w:tcW w:w="1422" w:type="dxa"/>
            <w:noWrap/>
            <w:hideMark/>
          </w:tcPr>
          <w:p w14:paraId="3E4D933B" w14:textId="77777777" w:rsidR="00DB7E7A" w:rsidRPr="00AF0E5C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F0E5C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              860,000.00 </w:t>
            </w:r>
          </w:p>
        </w:tc>
        <w:tc>
          <w:tcPr>
            <w:tcW w:w="1534" w:type="dxa"/>
            <w:noWrap/>
            <w:hideMark/>
          </w:tcPr>
          <w:p w14:paraId="411621B7" w14:textId="77777777" w:rsidR="00DB7E7A" w:rsidRPr="007C577B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C577B">
              <w:rPr>
                <w:b/>
                <w:bCs/>
                <w:sz w:val="24"/>
                <w:szCs w:val="24"/>
              </w:rPr>
              <w:t xml:space="preserve">      1,293,857.49 </w:t>
            </w:r>
          </w:p>
        </w:tc>
        <w:tc>
          <w:tcPr>
            <w:tcW w:w="1422" w:type="dxa"/>
            <w:noWrap/>
            <w:hideMark/>
          </w:tcPr>
          <w:p w14:paraId="091836CF" w14:textId="77777777" w:rsidR="00DB7E7A" w:rsidRPr="00AF0E5C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  <w:t xml:space="preserve">72 </w:t>
            </w:r>
            <w:r w:rsidRPr="00AF0E5C">
              <w:rPr>
                <w:rFonts w:eastAsia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333" w:type="dxa"/>
            <w:noWrap/>
            <w:hideMark/>
          </w:tcPr>
          <w:p w14:paraId="00FB6810" w14:textId="77777777" w:rsidR="00DB7E7A" w:rsidRPr="00AF0E5C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  <w:t xml:space="preserve">150 </w:t>
            </w:r>
            <w:r w:rsidRPr="00AF0E5C">
              <w:rPr>
                <w:rFonts w:eastAsia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DB7E7A" w:rsidRPr="007E5598" w14:paraId="3661D548" w14:textId="77777777" w:rsidTr="00203339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14:paraId="260C4A58" w14:textId="77777777" w:rsidR="00DB7E7A" w:rsidRPr="00AF0E5C" w:rsidRDefault="00DB7E7A" w:rsidP="00291FDD">
            <w:pPr>
              <w:rPr>
                <w:rFonts w:eastAsia="Times New Roman" w:cs="Times New Roman"/>
                <w:sz w:val="24"/>
                <w:szCs w:val="24"/>
              </w:rPr>
            </w:pPr>
            <w:r w:rsidRPr="00AF0E5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0" w:type="dxa"/>
            <w:noWrap/>
            <w:hideMark/>
          </w:tcPr>
          <w:p w14:paraId="408CCF7C" w14:textId="77777777" w:rsidR="00DB7E7A" w:rsidRPr="00AF0E5C" w:rsidRDefault="00DB7E7A" w:rsidP="00291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AF0E5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8" w:type="dxa"/>
            <w:noWrap/>
            <w:hideMark/>
          </w:tcPr>
          <w:p w14:paraId="7500A6C1" w14:textId="77777777" w:rsidR="00DB7E7A" w:rsidRPr="00AF0E5C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AF0E5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2" w:type="dxa"/>
            <w:noWrap/>
            <w:hideMark/>
          </w:tcPr>
          <w:p w14:paraId="350A2ABB" w14:textId="77777777" w:rsidR="00DB7E7A" w:rsidRPr="00AF0E5C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F0E5C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4" w:type="dxa"/>
            <w:noWrap/>
            <w:hideMark/>
          </w:tcPr>
          <w:p w14:paraId="62162212" w14:textId="77777777" w:rsidR="00DB7E7A" w:rsidRPr="00AF0E5C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F0E5C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2" w:type="dxa"/>
            <w:noWrap/>
            <w:hideMark/>
          </w:tcPr>
          <w:p w14:paraId="0625FA17" w14:textId="77777777" w:rsidR="00DB7E7A" w:rsidRPr="00AF0E5C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AF0E5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dxa"/>
            <w:noWrap/>
            <w:hideMark/>
          </w:tcPr>
          <w:p w14:paraId="79F7E6E5" w14:textId="77777777" w:rsidR="00DB7E7A" w:rsidRPr="00AF0E5C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AF0E5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DB7E7A" w:rsidRPr="007E5598" w14:paraId="307BB621" w14:textId="77777777" w:rsidTr="00203339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14:paraId="623FE8D2" w14:textId="77777777" w:rsidR="00DB7E7A" w:rsidRPr="00AF0E5C" w:rsidRDefault="00DB7E7A" w:rsidP="00291FDD">
            <w:pPr>
              <w:rPr>
                <w:rFonts w:eastAsia="Times New Roman" w:cs="Times New Roman"/>
                <w:sz w:val="24"/>
                <w:szCs w:val="24"/>
              </w:rPr>
            </w:pPr>
            <w:r w:rsidRPr="00AF0E5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0" w:type="dxa"/>
            <w:noWrap/>
            <w:hideMark/>
          </w:tcPr>
          <w:p w14:paraId="48D3ACEF" w14:textId="77777777" w:rsidR="00DB7E7A" w:rsidRPr="00AF0E5C" w:rsidRDefault="00DB7E7A" w:rsidP="00291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AF0E5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8" w:type="dxa"/>
            <w:noWrap/>
            <w:hideMark/>
          </w:tcPr>
          <w:p w14:paraId="7B9E3532" w14:textId="77777777" w:rsidR="00DB7E7A" w:rsidRPr="00AF0E5C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AF0E5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2" w:type="dxa"/>
            <w:noWrap/>
            <w:hideMark/>
          </w:tcPr>
          <w:p w14:paraId="7F6BC056" w14:textId="77777777" w:rsidR="00DB7E7A" w:rsidRPr="00AF0E5C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F0E5C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4" w:type="dxa"/>
            <w:noWrap/>
            <w:hideMark/>
          </w:tcPr>
          <w:p w14:paraId="63BEA923" w14:textId="77777777" w:rsidR="00DB7E7A" w:rsidRPr="00AF0E5C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AF0E5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2" w:type="dxa"/>
            <w:noWrap/>
            <w:hideMark/>
          </w:tcPr>
          <w:p w14:paraId="246B9456" w14:textId="77777777" w:rsidR="00DB7E7A" w:rsidRPr="00AF0E5C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AF0E5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dxa"/>
            <w:noWrap/>
            <w:hideMark/>
          </w:tcPr>
          <w:p w14:paraId="4E265AF1" w14:textId="77777777" w:rsidR="00DB7E7A" w:rsidRPr="00AF0E5C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AF0E5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DB7E7A" w:rsidRPr="007E5598" w14:paraId="703145F1" w14:textId="77777777" w:rsidTr="00203339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14:paraId="1506DD04" w14:textId="77777777" w:rsidR="00DB7E7A" w:rsidRPr="00AF0E5C" w:rsidRDefault="00DB7E7A" w:rsidP="00291FDD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noWrap/>
            <w:hideMark/>
          </w:tcPr>
          <w:p w14:paraId="4359B1CD" w14:textId="77777777" w:rsidR="00DB7E7A" w:rsidRPr="00AF0E5C" w:rsidRDefault="00DB7E7A" w:rsidP="00291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F0E5C">
              <w:rPr>
                <w:rFonts w:eastAsia="Times New Roman" w:cs="Times New Roman"/>
                <w:b/>
                <w:bCs/>
                <w:sz w:val="24"/>
                <w:szCs w:val="24"/>
              </w:rPr>
              <w:t>SHPENZIMET</w:t>
            </w:r>
          </w:p>
        </w:tc>
        <w:tc>
          <w:tcPr>
            <w:tcW w:w="1778" w:type="dxa"/>
            <w:noWrap/>
            <w:hideMark/>
          </w:tcPr>
          <w:p w14:paraId="6306ED06" w14:textId="77777777" w:rsidR="00DB7E7A" w:rsidRPr="00AF0E5C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F0E5C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2" w:type="dxa"/>
            <w:noWrap/>
            <w:hideMark/>
          </w:tcPr>
          <w:p w14:paraId="1BBFDA12" w14:textId="77777777" w:rsidR="00DB7E7A" w:rsidRPr="00AF0E5C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F0E5C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4" w:type="dxa"/>
            <w:noWrap/>
            <w:hideMark/>
          </w:tcPr>
          <w:p w14:paraId="2A1DA4AE" w14:textId="77777777" w:rsidR="00DB7E7A" w:rsidRPr="00AF0E5C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AF0E5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2" w:type="dxa"/>
            <w:noWrap/>
            <w:hideMark/>
          </w:tcPr>
          <w:p w14:paraId="4E436D45" w14:textId="77777777" w:rsidR="00DB7E7A" w:rsidRPr="00AF0E5C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AF0E5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dxa"/>
            <w:noWrap/>
            <w:hideMark/>
          </w:tcPr>
          <w:p w14:paraId="0BC3C38A" w14:textId="77777777" w:rsidR="00DB7E7A" w:rsidRPr="00AF0E5C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AF0E5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DB7E7A" w:rsidRPr="007E5598" w14:paraId="0796C6B3" w14:textId="77777777" w:rsidTr="00203339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14:paraId="2D553353" w14:textId="77777777" w:rsidR="00DB7E7A" w:rsidRPr="00AF0E5C" w:rsidRDefault="00DB7E7A" w:rsidP="00291FDD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F0E5C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200" w:type="dxa"/>
            <w:noWrap/>
            <w:hideMark/>
          </w:tcPr>
          <w:p w14:paraId="389ECBE6" w14:textId="77777777" w:rsidR="00DB7E7A" w:rsidRPr="00475AE5" w:rsidRDefault="00DB7E7A" w:rsidP="00291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475AE5">
              <w:rPr>
                <w:rFonts w:eastAsia="Times New Roman" w:cs="Times New Roman"/>
                <w:sz w:val="24"/>
                <w:szCs w:val="24"/>
              </w:rPr>
              <w:t>Mallra dhe Shërbime</w:t>
            </w:r>
          </w:p>
        </w:tc>
        <w:tc>
          <w:tcPr>
            <w:tcW w:w="1778" w:type="dxa"/>
            <w:noWrap/>
            <w:vAlign w:val="bottom"/>
            <w:hideMark/>
          </w:tcPr>
          <w:p w14:paraId="3F00FABD" w14:textId="77777777" w:rsidR="00DB7E7A" w:rsidRPr="007C577B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C577B">
              <w:rPr>
                <w:sz w:val="24"/>
                <w:szCs w:val="24"/>
              </w:rPr>
              <w:t>439,740.65</w:t>
            </w:r>
          </w:p>
        </w:tc>
        <w:tc>
          <w:tcPr>
            <w:tcW w:w="1422" w:type="dxa"/>
            <w:noWrap/>
            <w:hideMark/>
          </w:tcPr>
          <w:p w14:paraId="23A009BE" w14:textId="77777777" w:rsidR="00DB7E7A" w:rsidRPr="00AF0E5C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AF0E5C">
              <w:rPr>
                <w:rFonts w:eastAsia="Times New Roman" w:cs="Times New Roman"/>
                <w:sz w:val="24"/>
                <w:szCs w:val="24"/>
              </w:rPr>
              <w:t xml:space="preserve">               330,000.00 </w:t>
            </w:r>
          </w:p>
        </w:tc>
        <w:tc>
          <w:tcPr>
            <w:tcW w:w="1534" w:type="dxa"/>
            <w:noWrap/>
            <w:vAlign w:val="bottom"/>
            <w:hideMark/>
          </w:tcPr>
          <w:p w14:paraId="4DA272C6" w14:textId="77777777" w:rsidR="00DB7E7A" w:rsidRPr="007C577B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C577B">
              <w:rPr>
                <w:sz w:val="24"/>
                <w:szCs w:val="24"/>
              </w:rPr>
              <w:t>309,354.10</w:t>
            </w:r>
          </w:p>
        </w:tc>
        <w:tc>
          <w:tcPr>
            <w:tcW w:w="1422" w:type="dxa"/>
            <w:noWrap/>
            <w:hideMark/>
          </w:tcPr>
          <w:p w14:paraId="6C19EAF9" w14:textId="77777777" w:rsidR="00DB7E7A" w:rsidRPr="00AF0E5C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br/>
              <w:t xml:space="preserve">70 </w:t>
            </w:r>
            <w:r w:rsidRPr="00AF0E5C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1333" w:type="dxa"/>
            <w:noWrap/>
            <w:hideMark/>
          </w:tcPr>
          <w:p w14:paraId="39583284" w14:textId="77777777" w:rsidR="00DB7E7A" w:rsidRPr="00AF0E5C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br/>
              <w:t xml:space="preserve">94 </w:t>
            </w:r>
            <w:r w:rsidRPr="00AF0E5C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</w:tr>
      <w:tr w:rsidR="00DB7E7A" w:rsidRPr="007E5598" w14:paraId="65BD0CB5" w14:textId="77777777" w:rsidTr="00203339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14:paraId="3E518536" w14:textId="77777777" w:rsidR="00DB7E7A" w:rsidRPr="00AF0E5C" w:rsidRDefault="00DB7E7A" w:rsidP="00291FDD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F0E5C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200" w:type="dxa"/>
            <w:noWrap/>
            <w:hideMark/>
          </w:tcPr>
          <w:p w14:paraId="58704DB2" w14:textId="77777777" w:rsidR="00DB7E7A" w:rsidRPr="00475AE5" w:rsidRDefault="00DB7E7A" w:rsidP="00291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475AE5">
              <w:rPr>
                <w:rFonts w:eastAsia="Times New Roman" w:cs="Times New Roman"/>
                <w:sz w:val="24"/>
                <w:szCs w:val="24"/>
              </w:rPr>
              <w:t>Komunalitë</w:t>
            </w:r>
          </w:p>
        </w:tc>
        <w:tc>
          <w:tcPr>
            <w:tcW w:w="1778" w:type="dxa"/>
            <w:noWrap/>
            <w:vAlign w:val="bottom"/>
            <w:hideMark/>
          </w:tcPr>
          <w:p w14:paraId="676180C6" w14:textId="77777777" w:rsidR="00DB7E7A" w:rsidRPr="007C577B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C577B">
              <w:rPr>
                <w:sz w:val="24"/>
                <w:szCs w:val="24"/>
              </w:rPr>
              <w:t xml:space="preserve">                6,391.28 </w:t>
            </w:r>
          </w:p>
        </w:tc>
        <w:tc>
          <w:tcPr>
            <w:tcW w:w="1422" w:type="dxa"/>
            <w:noWrap/>
            <w:hideMark/>
          </w:tcPr>
          <w:p w14:paraId="22962757" w14:textId="77777777" w:rsidR="00DB7E7A" w:rsidRPr="00AF0E5C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AF0E5C">
              <w:rPr>
                <w:rFonts w:eastAsia="Times New Roman" w:cs="Times New Roman"/>
                <w:sz w:val="24"/>
                <w:szCs w:val="24"/>
              </w:rPr>
              <w:t xml:space="preserve">                   7,500.00 </w:t>
            </w:r>
          </w:p>
        </w:tc>
        <w:tc>
          <w:tcPr>
            <w:tcW w:w="1534" w:type="dxa"/>
            <w:noWrap/>
            <w:vAlign w:val="bottom"/>
            <w:hideMark/>
          </w:tcPr>
          <w:p w14:paraId="756FEE4C" w14:textId="77777777" w:rsidR="00DB7E7A" w:rsidRPr="007C577B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C577B">
              <w:rPr>
                <w:sz w:val="24"/>
                <w:szCs w:val="24"/>
              </w:rPr>
              <w:t>7,386.69</w:t>
            </w:r>
          </w:p>
        </w:tc>
        <w:tc>
          <w:tcPr>
            <w:tcW w:w="1422" w:type="dxa"/>
            <w:noWrap/>
            <w:hideMark/>
          </w:tcPr>
          <w:p w14:paraId="6215D491" w14:textId="77777777" w:rsidR="00DB7E7A" w:rsidRPr="00AF0E5C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br/>
              <w:t xml:space="preserve">116 </w:t>
            </w:r>
            <w:r w:rsidRPr="00AF0E5C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1333" w:type="dxa"/>
            <w:noWrap/>
            <w:hideMark/>
          </w:tcPr>
          <w:p w14:paraId="7A889B5C" w14:textId="77777777" w:rsidR="00DB7E7A" w:rsidRPr="00AF0E5C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br/>
              <w:t xml:space="preserve">98 </w:t>
            </w:r>
            <w:r w:rsidRPr="00AF0E5C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</w:tr>
      <w:tr w:rsidR="00DB7E7A" w:rsidRPr="007E5598" w14:paraId="44AB8732" w14:textId="77777777" w:rsidTr="00203339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14:paraId="209D785D" w14:textId="77777777" w:rsidR="00DB7E7A" w:rsidRPr="00AF0E5C" w:rsidRDefault="00DB7E7A" w:rsidP="00291FDD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F0E5C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200" w:type="dxa"/>
            <w:noWrap/>
            <w:hideMark/>
          </w:tcPr>
          <w:p w14:paraId="541F3DE2" w14:textId="77777777" w:rsidR="00DB7E7A" w:rsidRPr="00475AE5" w:rsidRDefault="00DB7E7A" w:rsidP="00291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475AE5">
              <w:rPr>
                <w:rFonts w:eastAsia="Times New Roman" w:cs="Times New Roman"/>
                <w:sz w:val="24"/>
                <w:szCs w:val="24"/>
              </w:rPr>
              <w:t>Investimet Kapitale</w:t>
            </w:r>
          </w:p>
        </w:tc>
        <w:tc>
          <w:tcPr>
            <w:tcW w:w="1778" w:type="dxa"/>
            <w:noWrap/>
            <w:vAlign w:val="bottom"/>
            <w:hideMark/>
          </w:tcPr>
          <w:p w14:paraId="4D95E67C" w14:textId="77777777" w:rsidR="00DB7E7A" w:rsidRPr="007C577B" w:rsidRDefault="00DB7E7A" w:rsidP="00291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C577B">
              <w:rPr>
                <w:b/>
                <w:bCs/>
                <w:sz w:val="24"/>
                <w:szCs w:val="24"/>
              </w:rPr>
              <w:t xml:space="preserve">       </w:t>
            </w:r>
            <w:r>
              <w:rPr>
                <w:b/>
                <w:bCs/>
                <w:sz w:val="24"/>
                <w:szCs w:val="24"/>
              </w:rPr>
              <w:t>-</w:t>
            </w:r>
            <w:r w:rsidRPr="007C577B">
              <w:rPr>
                <w:b/>
                <w:bCs/>
                <w:sz w:val="24"/>
                <w:szCs w:val="24"/>
              </w:rPr>
              <w:t xml:space="preserve">                 </w:t>
            </w:r>
          </w:p>
        </w:tc>
        <w:tc>
          <w:tcPr>
            <w:tcW w:w="1422" w:type="dxa"/>
            <w:noWrap/>
            <w:hideMark/>
          </w:tcPr>
          <w:p w14:paraId="0AB805A8" w14:textId="77777777" w:rsidR="00DB7E7A" w:rsidRPr="00AF0E5C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AF0E5C">
              <w:rPr>
                <w:rFonts w:eastAsia="Times New Roman" w:cs="Times New Roman"/>
                <w:sz w:val="24"/>
                <w:szCs w:val="24"/>
              </w:rPr>
              <w:t xml:space="preserve">               230,000.00 </w:t>
            </w:r>
          </w:p>
        </w:tc>
        <w:tc>
          <w:tcPr>
            <w:tcW w:w="1534" w:type="dxa"/>
            <w:noWrap/>
            <w:vAlign w:val="center"/>
            <w:hideMark/>
          </w:tcPr>
          <w:p w14:paraId="50BDB301" w14:textId="77777777" w:rsidR="00DB7E7A" w:rsidRPr="007C577B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C577B">
              <w:rPr>
                <w:sz w:val="24"/>
                <w:szCs w:val="24"/>
              </w:rPr>
              <w:t xml:space="preserve">         115,813.09 </w:t>
            </w:r>
          </w:p>
        </w:tc>
        <w:tc>
          <w:tcPr>
            <w:tcW w:w="1422" w:type="dxa"/>
            <w:noWrap/>
            <w:hideMark/>
          </w:tcPr>
          <w:p w14:paraId="18891751" w14:textId="77777777" w:rsidR="00DB7E7A" w:rsidRPr="00AF0E5C" w:rsidRDefault="00DB7E7A" w:rsidP="00291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333" w:type="dxa"/>
            <w:noWrap/>
            <w:hideMark/>
          </w:tcPr>
          <w:p w14:paraId="5E502BC2" w14:textId="77777777" w:rsidR="00DB7E7A" w:rsidRPr="007C577B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50 %</w:t>
            </w:r>
          </w:p>
        </w:tc>
      </w:tr>
      <w:tr w:rsidR="00DB7E7A" w:rsidRPr="007E5598" w14:paraId="4BF3C560" w14:textId="77777777" w:rsidTr="00203339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14:paraId="036E5B37" w14:textId="77777777" w:rsidR="00DB7E7A" w:rsidRPr="00AF0E5C" w:rsidRDefault="00DB7E7A" w:rsidP="00291FDD">
            <w:pPr>
              <w:rPr>
                <w:rFonts w:eastAsia="Times New Roman" w:cs="Times New Roman"/>
                <w:sz w:val="24"/>
                <w:szCs w:val="24"/>
              </w:rPr>
            </w:pPr>
            <w:r w:rsidRPr="00AF0E5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0" w:type="dxa"/>
            <w:noWrap/>
            <w:hideMark/>
          </w:tcPr>
          <w:p w14:paraId="3BADFC7C" w14:textId="77777777" w:rsidR="00DB7E7A" w:rsidRPr="00AF0E5C" w:rsidRDefault="00DB7E7A" w:rsidP="00291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F0E5C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Gjithsej </w:t>
            </w:r>
          </w:p>
        </w:tc>
        <w:tc>
          <w:tcPr>
            <w:tcW w:w="1778" w:type="dxa"/>
            <w:noWrap/>
            <w:vAlign w:val="bottom"/>
            <w:hideMark/>
          </w:tcPr>
          <w:p w14:paraId="1CBC0108" w14:textId="77777777" w:rsidR="00DB7E7A" w:rsidRPr="007C577B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C577B">
              <w:rPr>
                <w:b/>
                <w:bCs/>
                <w:sz w:val="24"/>
                <w:szCs w:val="24"/>
              </w:rPr>
              <w:t xml:space="preserve">            446,131.93 </w:t>
            </w:r>
          </w:p>
        </w:tc>
        <w:tc>
          <w:tcPr>
            <w:tcW w:w="1422" w:type="dxa"/>
            <w:noWrap/>
            <w:hideMark/>
          </w:tcPr>
          <w:p w14:paraId="73805D87" w14:textId="77777777" w:rsidR="00DB7E7A" w:rsidRPr="00AF0E5C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F0E5C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              567,500.00 </w:t>
            </w:r>
          </w:p>
        </w:tc>
        <w:tc>
          <w:tcPr>
            <w:tcW w:w="1534" w:type="dxa"/>
            <w:noWrap/>
            <w:vAlign w:val="bottom"/>
            <w:hideMark/>
          </w:tcPr>
          <w:p w14:paraId="1E910B24" w14:textId="77777777" w:rsidR="00DB7E7A" w:rsidRPr="007C577B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C577B">
              <w:rPr>
                <w:b/>
                <w:bCs/>
                <w:sz w:val="24"/>
                <w:szCs w:val="24"/>
              </w:rPr>
              <w:t xml:space="preserve">         432,553.88 </w:t>
            </w:r>
          </w:p>
        </w:tc>
        <w:tc>
          <w:tcPr>
            <w:tcW w:w="1422" w:type="dxa"/>
            <w:noWrap/>
            <w:hideMark/>
          </w:tcPr>
          <w:p w14:paraId="3D652ABC" w14:textId="77777777" w:rsidR="00DB7E7A" w:rsidRPr="00AF0E5C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  <w:t xml:space="preserve">97 </w:t>
            </w:r>
            <w:r w:rsidRPr="00AF0E5C">
              <w:rPr>
                <w:rFonts w:eastAsia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333" w:type="dxa"/>
            <w:noWrap/>
            <w:hideMark/>
          </w:tcPr>
          <w:p w14:paraId="6D255326" w14:textId="77777777" w:rsidR="00DB7E7A" w:rsidRPr="00AF0E5C" w:rsidRDefault="00DB7E7A" w:rsidP="00291F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  <w:t xml:space="preserve">76 </w:t>
            </w:r>
            <w:r w:rsidRPr="00AF0E5C">
              <w:rPr>
                <w:rFonts w:eastAsia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</w:tbl>
    <w:p w14:paraId="61E7D55B" w14:textId="77777777" w:rsidR="00DB7E7A" w:rsidRDefault="00DB7E7A" w:rsidP="003629C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</w:p>
    <w:p w14:paraId="15F0E9F7" w14:textId="77777777" w:rsidR="00E07E6F" w:rsidRDefault="00E07E6F" w:rsidP="003629C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</w:p>
    <w:p w14:paraId="564C5D67" w14:textId="77777777" w:rsidR="00E07E6F" w:rsidRDefault="00E07E6F" w:rsidP="003629C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</w:p>
    <w:p w14:paraId="4AA82CDB" w14:textId="77777777" w:rsidR="00E07E6F" w:rsidRDefault="00E07E6F" w:rsidP="003629C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</w:p>
    <w:p w14:paraId="211BB678" w14:textId="723A092C" w:rsidR="00E07E6F" w:rsidRDefault="00E07E6F" w:rsidP="003629C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</w:p>
    <w:p w14:paraId="703902A8" w14:textId="16380BF2" w:rsidR="00E07E6F" w:rsidRDefault="00E07E6F" w:rsidP="003629C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</w:p>
    <w:p w14:paraId="52019003" w14:textId="53656337" w:rsidR="00CF663E" w:rsidRDefault="003629CE" w:rsidP="00676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88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Në intervalin kohorë </w:t>
      </w:r>
      <w:r w:rsidR="00E07E6F" w:rsidRPr="001F5887">
        <w:rPr>
          <w:rFonts w:ascii="Times New Roman" w:eastAsia="Times New Roman" w:hAnsi="Times New Roman" w:cs="Times New Roman"/>
          <w:b/>
          <w:bCs/>
          <w:sz w:val="24"/>
          <w:szCs w:val="24"/>
        </w:rPr>
        <w:t>(01.01.2024-31.12.2024</w:t>
      </w:r>
      <w:r w:rsidRPr="001F588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1F588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07E6F" w:rsidRPr="001F5887">
        <w:rPr>
          <w:rFonts w:ascii="Times New Roman" w:eastAsia="Times New Roman" w:hAnsi="Times New Roman" w:cs="Times New Roman"/>
          <w:bCs/>
          <w:sz w:val="24"/>
          <w:szCs w:val="24"/>
        </w:rPr>
        <w:t>janë realizuar inkasim në vlerë</w:t>
      </w:r>
      <w:r w:rsidR="00E07E6F" w:rsidRPr="001F58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07E6F" w:rsidRPr="001F5887">
        <w:rPr>
          <w:b/>
          <w:bCs/>
          <w:sz w:val="24"/>
          <w:szCs w:val="24"/>
        </w:rPr>
        <w:t xml:space="preserve">1,293,857.49 </w:t>
      </w:r>
      <w:bookmarkStart w:id="0" w:name="_GoBack"/>
      <w:bookmarkEnd w:id="0"/>
      <w:r w:rsidR="00E07E6F" w:rsidRPr="001F5887">
        <w:rPr>
          <w:b/>
          <w:bCs/>
          <w:sz w:val="24"/>
          <w:szCs w:val="24"/>
        </w:rPr>
        <w:t>euro</w:t>
      </w:r>
      <w:r w:rsidR="00676629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E07E6F" w:rsidRPr="001F5887"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Pr="001F5887">
        <w:rPr>
          <w:rFonts w:ascii="Times New Roman" w:eastAsia="Times New Roman" w:hAnsi="Times New Roman" w:cs="Times New Roman"/>
          <w:bCs/>
          <w:sz w:val="24"/>
          <w:szCs w:val="24"/>
        </w:rPr>
        <w:t>rahasu</w:t>
      </w:r>
      <w:r w:rsidR="00E07E6F" w:rsidRPr="001F5887">
        <w:rPr>
          <w:rFonts w:ascii="Times New Roman" w:eastAsia="Times New Roman" w:hAnsi="Times New Roman" w:cs="Times New Roman"/>
          <w:bCs/>
          <w:sz w:val="24"/>
          <w:szCs w:val="24"/>
        </w:rPr>
        <w:t>ar me vitin paraprak kemi zvoglim</w:t>
      </w:r>
      <w:r w:rsidR="00CF663E" w:rsidRPr="001F5887">
        <w:rPr>
          <w:rFonts w:ascii="Times New Roman" w:eastAsia="Times New Roman" w:hAnsi="Times New Roman" w:cs="Times New Roman"/>
          <w:bCs/>
          <w:sz w:val="24"/>
          <w:szCs w:val="24"/>
        </w:rPr>
        <w:t xml:space="preserve"> të të hyrave,</w:t>
      </w:r>
      <w:r w:rsidRPr="001F5887">
        <w:rPr>
          <w:rFonts w:ascii="Times New Roman" w:eastAsia="Times New Roman" w:hAnsi="Times New Roman" w:cs="Times New Roman"/>
          <w:bCs/>
          <w:sz w:val="24"/>
          <w:szCs w:val="24"/>
        </w:rPr>
        <w:t xml:space="preserve">për </w:t>
      </w:r>
      <w:r w:rsidR="00CF663E" w:rsidRPr="001F5887">
        <w:rPr>
          <w:rFonts w:ascii="Times New Roman" w:eastAsia="Times New Roman" w:hAnsi="Times New Roman" w:cs="Times New Roman"/>
          <w:b/>
          <w:bCs/>
          <w:sz w:val="24"/>
          <w:szCs w:val="24"/>
        </w:rPr>
        <w:t>509,683.22</w:t>
      </w:r>
      <w:r w:rsidR="00CF663E" w:rsidRPr="001F5887">
        <w:rPr>
          <w:rFonts w:ascii="Times New Roman" w:eastAsia="Times New Roman" w:hAnsi="Times New Roman" w:cs="Times New Roman"/>
          <w:bCs/>
          <w:sz w:val="24"/>
          <w:szCs w:val="24"/>
        </w:rPr>
        <w:t xml:space="preserve"> euro më pak se vitin paraprak</w:t>
      </w:r>
      <w:r w:rsidRPr="001F5887">
        <w:rPr>
          <w:rFonts w:ascii="Times New Roman" w:eastAsia="Times New Roman" w:hAnsi="Times New Roman" w:cs="Times New Roman"/>
          <w:bCs/>
          <w:sz w:val="24"/>
          <w:szCs w:val="24"/>
        </w:rPr>
        <w:t xml:space="preserve">, e që shprehur në përqindje është </w:t>
      </w:r>
      <w:r w:rsidR="00CF663E" w:rsidRPr="001F5887">
        <w:rPr>
          <w:rFonts w:ascii="Times New Roman" w:eastAsia="Times New Roman" w:hAnsi="Times New Roman" w:cs="Times New Roman"/>
          <w:b/>
          <w:bCs/>
          <w:sz w:val="24"/>
          <w:szCs w:val="24"/>
        </w:rPr>
        <w:t>71.74</w:t>
      </w:r>
      <w:r w:rsidRPr="001F5887">
        <w:rPr>
          <w:rFonts w:ascii="Times New Roman" w:eastAsia="Times New Roman" w:hAnsi="Times New Roman" w:cs="Times New Roman"/>
          <w:b/>
          <w:bCs/>
          <w:sz w:val="24"/>
          <w:szCs w:val="24"/>
        </w:rPr>
        <w:t>%</w:t>
      </w:r>
      <w:r w:rsidRPr="001F588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CF663E" w:rsidRPr="001F5887">
        <w:rPr>
          <w:rFonts w:ascii="Times New Roman" w:hAnsi="Times New Roman" w:cs="Times New Roman"/>
          <w:b/>
          <w:sz w:val="24"/>
          <w:szCs w:val="24"/>
        </w:rPr>
        <w:t xml:space="preserve"> Ky dallim ka ndodh nga fakti se në vitin 2023</w:t>
      </w:r>
      <w:r w:rsidR="00CF663E" w:rsidRPr="00AE29F0">
        <w:rPr>
          <w:rFonts w:ascii="Times New Roman" w:hAnsi="Times New Roman" w:cs="Times New Roman"/>
          <w:bCs/>
          <w:sz w:val="24"/>
          <w:szCs w:val="24"/>
        </w:rPr>
        <w:t xml:space="preserve"> janë</w:t>
      </w:r>
      <w:r w:rsidR="00CF663E" w:rsidRPr="001F5887">
        <w:rPr>
          <w:rFonts w:ascii="Times New Roman" w:hAnsi="Times New Roman" w:cs="Times New Roman"/>
          <w:sz w:val="24"/>
          <w:szCs w:val="24"/>
        </w:rPr>
        <w:t xml:space="preserve"> trajtuar edhe një numër i madh i kërkesasave të patrajtuara,nga gjithsej 1279,</w:t>
      </w:r>
      <w:r w:rsidR="00AE29F0">
        <w:rPr>
          <w:rFonts w:ascii="Times New Roman" w:hAnsi="Times New Roman" w:cs="Times New Roman"/>
          <w:sz w:val="24"/>
          <w:szCs w:val="24"/>
        </w:rPr>
        <w:t xml:space="preserve"> </w:t>
      </w:r>
      <w:r w:rsidR="00CF663E" w:rsidRPr="001F5887">
        <w:rPr>
          <w:rFonts w:ascii="Times New Roman" w:hAnsi="Times New Roman" w:cs="Times New Roman"/>
          <w:sz w:val="24"/>
          <w:szCs w:val="24"/>
        </w:rPr>
        <w:t>të grumbulluara gjatë viteve 2019, 2020,dhe 2021, gjatë qeverisjes së kaluar</w:t>
      </w:r>
      <w:r w:rsidR="001F5887" w:rsidRPr="001F5887">
        <w:rPr>
          <w:rFonts w:ascii="Times New Roman" w:hAnsi="Times New Roman" w:cs="Times New Roman"/>
          <w:sz w:val="24"/>
          <w:szCs w:val="24"/>
        </w:rPr>
        <w:t>,që</w:t>
      </w:r>
      <w:r w:rsidR="00CF663E" w:rsidRPr="001F5887">
        <w:rPr>
          <w:rFonts w:ascii="Times New Roman" w:hAnsi="Times New Roman" w:cs="Times New Roman"/>
          <w:sz w:val="24"/>
          <w:szCs w:val="24"/>
        </w:rPr>
        <w:t xml:space="preserve"> </w:t>
      </w:r>
      <w:r w:rsidR="001F5887" w:rsidRPr="001F5887">
        <w:rPr>
          <w:rFonts w:ascii="Times New Roman" w:hAnsi="Times New Roman" w:cs="Times New Roman"/>
          <w:sz w:val="24"/>
          <w:szCs w:val="24"/>
        </w:rPr>
        <w:t>ka rezultuar me realizim re</w:t>
      </w:r>
      <w:r w:rsidR="00676629">
        <w:rPr>
          <w:rFonts w:ascii="Times New Roman" w:hAnsi="Times New Roman" w:cs="Times New Roman"/>
          <w:sz w:val="24"/>
          <w:szCs w:val="24"/>
        </w:rPr>
        <w:t>k</w:t>
      </w:r>
      <w:r w:rsidR="001F5887" w:rsidRPr="001F5887">
        <w:rPr>
          <w:rFonts w:ascii="Times New Roman" w:hAnsi="Times New Roman" w:cs="Times New Roman"/>
          <w:sz w:val="24"/>
          <w:szCs w:val="24"/>
        </w:rPr>
        <w:t>ord të të h</w:t>
      </w:r>
      <w:r w:rsidR="00676629">
        <w:rPr>
          <w:rFonts w:ascii="Times New Roman" w:hAnsi="Times New Roman" w:cs="Times New Roman"/>
          <w:sz w:val="24"/>
          <w:szCs w:val="24"/>
        </w:rPr>
        <w:t>y</w:t>
      </w:r>
      <w:r w:rsidR="001F5887" w:rsidRPr="001F5887">
        <w:rPr>
          <w:rFonts w:ascii="Times New Roman" w:hAnsi="Times New Roman" w:cs="Times New Roman"/>
          <w:sz w:val="24"/>
          <w:szCs w:val="24"/>
        </w:rPr>
        <w:t>rave, 196% në raport me planifikimin vjetor.</w:t>
      </w:r>
      <w:r w:rsidR="00856BB5">
        <w:rPr>
          <w:rFonts w:ascii="Times New Roman" w:hAnsi="Times New Roman" w:cs="Times New Roman"/>
          <w:sz w:val="24"/>
          <w:szCs w:val="24"/>
        </w:rPr>
        <w:br/>
      </w:r>
      <w:r w:rsidR="00856BB5">
        <w:rPr>
          <w:rFonts w:ascii="Times New Roman" w:hAnsi="Times New Roman" w:cs="Times New Roman"/>
          <w:sz w:val="24"/>
          <w:szCs w:val="24"/>
        </w:rPr>
        <w:br/>
      </w:r>
    </w:p>
    <w:p w14:paraId="7E4D74AA" w14:textId="77777777" w:rsidR="00676629" w:rsidRPr="00676629" w:rsidRDefault="00676629" w:rsidP="00676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71E3A1" w14:textId="5F66FE70" w:rsidR="001F5887" w:rsidRDefault="00676629" w:rsidP="00CF66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D3BF9EA" wp14:editId="16696436">
            <wp:extent cx="4953000" cy="3238500"/>
            <wp:effectExtent l="0" t="0" r="0" b="0"/>
            <wp:docPr id="163320437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C3DDC60-C323-44D7-A65A-9EA3FC2999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9368C73" w14:textId="77777777" w:rsidR="003629CE" w:rsidRPr="002C14DF" w:rsidRDefault="003629CE" w:rsidP="003629CE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14:paraId="6CB7065E" w14:textId="77777777" w:rsidR="002C14DF" w:rsidRDefault="002C14DF" w:rsidP="002C14DF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14:paraId="447C483F" w14:textId="75BE5CEE" w:rsidR="003629CE" w:rsidRDefault="003629CE" w:rsidP="002C14DF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14:paraId="6EEC7BB7" w14:textId="77777777" w:rsidR="002C14DF" w:rsidRDefault="002C14DF" w:rsidP="002C14DF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14:paraId="01530BBA" w14:textId="77777777" w:rsidR="003629CE" w:rsidRDefault="003629CE" w:rsidP="002C14DF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14:paraId="69F595F1" w14:textId="77777777" w:rsidR="003629CE" w:rsidRDefault="003629CE" w:rsidP="002C14DF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14:paraId="0D862150" w14:textId="77777777" w:rsidR="001F5887" w:rsidRDefault="001F5887" w:rsidP="002C14D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DB8A212" w14:textId="77777777" w:rsidR="001F5887" w:rsidRDefault="001F5887" w:rsidP="002C14D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F2E8C97" w14:textId="77777777" w:rsidR="001F5887" w:rsidRDefault="001F5887" w:rsidP="002C14D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7D46708" w14:textId="77777777" w:rsidR="001F5887" w:rsidRDefault="001F5887" w:rsidP="002C14D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816024" w14:textId="77777777" w:rsidR="001F5887" w:rsidRDefault="001F5887" w:rsidP="002C14D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05234CB" w14:textId="77777777" w:rsidR="001F5887" w:rsidRDefault="001F5887" w:rsidP="002C14D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CC04948" w14:textId="77777777" w:rsidR="001F5887" w:rsidRDefault="001F5887" w:rsidP="002C14D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7C81A77" w14:textId="77777777" w:rsidR="001F5887" w:rsidRDefault="001F5887" w:rsidP="002C14D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2ABE966" w14:textId="77777777" w:rsidR="001F5887" w:rsidRDefault="001F5887" w:rsidP="002C14D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0C49004" w14:textId="77777777" w:rsidR="001F5887" w:rsidRDefault="001F5887" w:rsidP="002C14D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5B5190C" w14:textId="77777777" w:rsidR="00856BB5" w:rsidRDefault="00856BB5" w:rsidP="002C14D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FD5CCF5" w14:textId="77777777" w:rsidR="001F5887" w:rsidRDefault="001F5887" w:rsidP="002C14D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824B53B" w14:textId="77777777" w:rsidR="002C14DF" w:rsidRPr="002C14DF" w:rsidRDefault="002C14DF" w:rsidP="002C14DF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 w:rsidRPr="002C14DF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Planifikimi i projektuar i të hyrave për</w:t>
      </w:r>
      <w:r w:rsidR="001F5887">
        <w:rPr>
          <w:rFonts w:ascii="Times New Roman" w:eastAsia="Times New Roman" w:hAnsi="Times New Roman" w:cs="Times New Roman"/>
          <w:bCs/>
          <w:sz w:val="24"/>
          <w:szCs w:val="24"/>
        </w:rPr>
        <w:t xml:space="preserve"> vitin 2024</w:t>
      </w:r>
      <w:r w:rsidRPr="002C14DF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2C14DF">
        <w:rPr>
          <w:rFonts w:ascii="Times New Roman" w:hAnsi="Times New Roman" w:cs="Times New Roman"/>
          <w:sz w:val="24"/>
          <w:szCs w:val="24"/>
        </w:rPr>
        <w:t xml:space="preserve"> në DUPMM</w:t>
      </w:r>
      <w:r w:rsidRPr="002C14DF">
        <w:rPr>
          <w:rFonts w:ascii="Times New Roman" w:eastAsia="Times New Roman" w:hAnsi="Times New Roman" w:cs="Times New Roman"/>
          <w:bCs/>
          <w:sz w:val="24"/>
          <w:szCs w:val="24"/>
        </w:rPr>
        <w:t xml:space="preserve"> është </w:t>
      </w:r>
      <w:r w:rsidR="001F5887">
        <w:rPr>
          <w:rFonts w:ascii="Times New Roman" w:eastAsia="Times New Roman" w:hAnsi="Times New Roman" w:cs="Times New Roman"/>
          <w:b/>
          <w:bCs/>
          <w:sz w:val="24"/>
          <w:szCs w:val="24"/>
        </w:rPr>
        <w:t>860,</w:t>
      </w:r>
      <w:r w:rsidRPr="002C14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000.00 </w:t>
      </w:r>
      <w:r w:rsidRPr="001F5887">
        <w:rPr>
          <w:rFonts w:ascii="Times New Roman" w:hAnsi="Times New Roman" w:cs="Times New Roman"/>
          <w:b/>
          <w:sz w:val="24"/>
          <w:szCs w:val="24"/>
        </w:rPr>
        <w:t>euro</w:t>
      </w:r>
      <w:r w:rsidRPr="001F5887">
        <w:rPr>
          <w:rFonts w:ascii="Times New Roman" w:hAnsi="Times New Roman" w:cs="Times New Roman"/>
          <w:sz w:val="24"/>
          <w:szCs w:val="24"/>
        </w:rPr>
        <w:t>.</w:t>
      </w:r>
    </w:p>
    <w:p w14:paraId="2A34EE2B" w14:textId="0461E1A2" w:rsidR="002C14DF" w:rsidRDefault="001F5887" w:rsidP="002C14D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Në intervalin kohorë (01</w:t>
      </w:r>
      <w:r w:rsidR="002C14DF" w:rsidRPr="002C14DF">
        <w:rPr>
          <w:rFonts w:ascii="Times New Roman" w:hAnsi="Times New Roman" w:cs="Times New Roman"/>
          <w:sz w:val="24"/>
          <w:szCs w:val="24"/>
        </w:rPr>
        <w:t>.01.</w:t>
      </w:r>
      <w:r w:rsidR="003629CE">
        <w:rPr>
          <w:rFonts w:ascii="Times New Roman" w:hAnsi="Times New Roman" w:cs="Times New Roman"/>
          <w:sz w:val="24"/>
          <w:szCs w:val="24"/>
        </w:rPr>
        <w:t xml:space="preserve">2023 deri </w:t>
      </w:r>
      <w:r w:rsidR="00AE29F0">
        <w:rPr>
          <w:rFonts w:ascii="Times New Roman" w:hAnsi="Times New Roman" w:cs="Times New Roman"/>
          <w:sz w:val="24"/>
          <w:szCs w:val="24"/>
        </w:rPr>
        <w:t xml:space="preserve">më </w:t>
      </w:r>
      <w:r w:rsidR="003629CE">
        <w:rPr>
          <w:rFonts w:ascii="Times New Roman" w:hAnsi="Times New Roman" w:cs="Times New Roman"/>
          <w:sz w:val="24"/>
          <w:szCs w:val="24"/>
        </w:rPr>
        <w:t>31.12</w:t>
      </w:r>
      <w:r>
        <w:rPr>
          <w:rFonts w:ascii="Times New Roman" w:hAnsi="Times New Roman" w:cs="Times New Roman"/>
          <w:sz w:val="24"/>
          <w:szCs w:val="24"/>
        </w:rPr>
        <w:t>.2024</w:t>
      </w:r>
      <w:r w:rsidR="002C14DF" w:rsidRPr="002C14DF">
        <w:rPr>
          <w:rFonts w:ascii="Times New Roman" w:hAnsi="Times New Roman" w:cs="Times New Roman"/>
          <w:sz w:val="24"/>
          <w:szCs w:val="24"/>
        </w:rPr>
        <w:t xml:space="preserve">) janë realizuar </w:t>
      </w:r>
      <w:r w:rsidR="002C14DF" w:rsidRPr="002C14DF">
        <w:rPr>
          <w:rFonts w:ascii="Times New Roman" w:hAnsi="Times New Roman" w:cs="Times New Roman"/>
          <w:b/>
          <w:sz w:val="24"/>
          <w:szCs w:val="24"/>
        </w:rPr>
        <w:t xml:space="preserve">inkasim në vlerë </w:t>
      </w:r>
      <w:r w:rsidRPr="007C577B">
        <w:rPr>
          <w:b/>
          <w:bCs/>
          <w:sz w:val="24"/>
          <w:szCs w:val="24"/>
        </w:rPr>
        <w:t>1,293,857.49</w:t>
      </w:r>
      <w:r>
        <w:rPr>
          <w:b/>
          <w:bCs/>
          <w:sz w:val="24"/>
          <w:szCs w:val="24"/>
        </w:rPr>
        <w:t xml:space="preserve"> </w:t>
      </w:r>
      <w:r w:rsidR="002C14DF" w:rsidRPr="002C14DF">
        <w:rPr>
          <w:rFonts w:ascii="Times New Roman" w:hAnsi="Times New Roman" w:cs="Times New Roman"/>
          <w:b/>
          <w:sz w:val="24"/>
          <w:szCs w:val="24"/>
        </w:rPr>
        <w:t>euro</w:t>
      </w:r>
      <w:r w:rsidR="002C14DF" w:rsidRPr="002C14DF">
        <w:rPr>
          <w:rFonts w:ascii="Times New Roman" w:hAnsi="Times New Roman" w:cs="Times New Roman"/>
          <w:sz w:val="24"/>
          <w:szCs w:val="24"/>
        </w:rPr>
        <w:t xml:space="preserve">, që është për </w:t>
      </w:r>
      <w:r>
        <w:rPr>
          <w:rFonts w:ascii="Times New Roman" w:hAnsi="Times New Roman" w:cs="Times New Roman"/>
          <w:b/>
          <w:sz w:val="24"/>
          <w:szCs w:val="24"/>
        </w:rPr>
        <w:t>433,857,49</w:t>
      </w:r>
      <w:r w:rsidR="002C14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14DF" w:rsidRPr="002C14DF">
        <w:rPr>
          <w:rFonts w:ascii="Times New Roman" w:hAnsi="Times New Roman" w:cs="Times New Roman"/>
          <w:b/>
          <w:sz w:val="24"/>
          <w:szCs w:val="24"/>
        </w:rPr>
        <w:t>euro më tepër se sa është planifikuar</w:t>
      </w:r>
      <w:r w:rsidR="002C14DF">
        <w:rPr>
          <w:rFonts w:ascii="Times New Roman" w:hAnsi="Times New Roman" w:cs="Times New Roman"/>
          <w:sz w:val="24"/>
          <w:szCs w:val="24"/>
        </w:rPr>
        <w:t xml:space="preserve"> për</w:t>
      </w:r>
      <w:r>
        <w:rPr>
          <w:rFonts w:ascii="Times New Roman" w:hAnsi="Times New Roman" w:cs="Times New Roman"/>
          <w:sz w:val="24"/>
          <w:szCs w:val="24"/>
        </w:rPr>
        <w:t xml:space="preserve"> vitin 2024</w:t>
      </w:r>
      <w:r w:rsidR="002C14DF" w:rsidRPr="002C14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2C14DF" w:rsidRPr="002C14DF">
        <w:rPr>
          <w:rFonts w:ascii="Times New Roman" w:eastAsia="Times New Roman" w:hAnsi="Times New Roman" w:cs="Times New Roman"/>
          <w:bCs/>
          <w:sz w:val="24"/>
          <w:szCs w:val="24"/>
        </w:rPr>
        <w:t>e që shprehur në përqindje është</w:t>
      </w:r>
      <w:r w:rsidR="002C14D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150.45</w:t>
      </w:r>
      <w:r w:rsidR="002C14DF" w:rsidRPr="002C14DF">
        <w:rPr>
          <w:rFonts w:ascii="Times New Roman" w:eastAsia="Times New Roman" w:hAnsi="Times New Roman" w:cs="Times New Roman"/>
          <w:b/>
          <w:bCs/>
          <w:sz w:val="24"/>
          <w:szCs w:val="24"/>
        </w:rPr>
        <w:t>%</w:t>
      </w:r>
      <w:r w:rsidR="003629C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856BB5">
        <w:rPr>
          <w:rFonts w:ascii="Times New Roman" w:eastAsia="Times New Roman" w:hAnsi="Times New Roman" w:cs="Times New Roman"/>
          <w:bCs/>
          <w:sz w:val="24"/>
          <w:szCs w:val="24"/>
        </w:rPr>
        <w:br/>
      </w:r>
    </w:p>
    <w:p w14:paraId="4BA1BC4A" w14:textId="77777777" w:rsidR="001F5887" w:rsidRDefault="001F5887" w:rsidP="002C14D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FB90612" w14:textId="1CC2D74E" w:rsidR="001F5887" w:rsidRDefault="00901AAF" w:rsidP="001F588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46F1DD42" wp14:editId="30157B88">
            <wp:extent cx="5135880" cy="4191000"/>
            <wp:effectExtent l="0" t="0" r="7620" b="0"/>
            <wp:docPr id="140483459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2D60710-2840-1483-D470-E75ED71529F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82A94EA" w14:textId="77777777" w:rsidR="001F5887" w:rsidRDefault="001F5887" w:rsidP="002C14D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49FAD93" w14:textId="77777777" w:rsidR="001F5887" w:rsidRDefault="001F5887" w:rsidP="002C14D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CD2AEB4" w14:textId="77777777" w:rsidR="001F5887" w:rsidRDefault="001F5887" w:rsidP="002C14D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985021C" w14:textId="77777777" w:rsidR="001F5887" w:rsidRDefault="001F5887" w:rsidP="002C14D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EAEDA64" w14:textId="77777777" w:rsidR="00B974B4" w:rsidRPr="003629CE" w:rsidRDefault="00B974B4" w:rsidP="002C14D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4FD0F95" w14:textId="79CA8F4B" w:rsidR="007663B3" w:rsidRPr="00A2084F" w:rsidRDefault="007663B3" w:rsidP="00A208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663B3" w:rsidRPr="00A20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CBD0A" w14:textId="77777777" w:rsidR="0014790E" w:rsidRDefault="0014790E" w:rsidP="008E18BF">
      <w:pPr>
        <w:spacing w:after="0" w:line="240" w:lineRule="auto"/>
      </w:pPr>
      <w:r>
        <w:separator/>
      </w:r>
    </w:p>
  </w:endnote>
  <w:endnote w:type="continuationSeparator" w:id="0">
    <w:p w14:paraId="1A149EFA" w14:textId="77777777" w:rsidR="0014790E" w:rsidRDefault="0014790E" w:rsidP="008E1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CA45B" w14:textId="77777777" w:rsidR="0014790E" w:rsidRDefault="0014790E" w:rsidP="008E18BF">
      <w:pPr>
        <w:spacing w:after="0" w:line="240" w:lineRule="auto"/>
      </w:pPr>
      <w:r>
        <w:separator/>
      </w:r>
    </w:p>
  </w:footnote>
  <w:footnote w:type="continuationSeparator" w:id="0">
    <w:p w14:paraId="6ECB9DFE" w14:textId="77777777" w:rsidR="0014790E" w:rsidRDefault="0014790E" w:rsidP="008E18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6545"/>
    <w:multiLevelType w:val="hybridMultilevel"/>
    <w:tmpl w:val="CED6601A"/>
    <w:lvl w:ilvl="0" w:tplc="2670FB54">
      <w:start w:val="1"/>
      <w:numFmt w:val="decimal"/>
      <w:lvlText w:val="%1."/>
      <w:lvlJc w:val="left"/>
      <w:pPr>
        <w:ind w:left="8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5020519A">
      <w:numFmt w:val="bullet"/>
      <w:lvlText w:val="•"/>
      <w:lvlJc w:val="left"/>
      <w:pPr>
        <w:ind w:left="1854" w:hanging="360"/>
      </w:pPr>
      <w:rPr>
        <w:lang w:val="sq-AL" w:eastAsia="en-US" w:bidi="ar-SA"/>
      </w:rPr>
    </w:lvl>
    <w:lvl w:ilvl="2" w:tplc="0A467C1C">
      <w:numFmt w:val="bullet"/>
      <w:lvlText w:val="•"/>
      <w:lvlJc w:val="left"/>
      <w:pPr>
        <w:ind w:left="2848" w:hanging="360"/>
      </w:pPr>
      <w:rPr>
        <w:lang w:val="sq-AL" w:eastAsia="en-US" w:bidi="ar-SA"/>
      </w:rPr>
    </w:lvl>
    <w:lvl w:ilvl="3" w:tplc="B4DAB42A">
      <w:numFmt w:val="bullet"/>
      <w:lvlText w:val="•"/>
      <w:lvlJc w:val="left"/>
      <w:pPr>
        <w:ind w:left="3842" w:hanging="360"/>
      </w:pPr>
      <w:rPr>
        <w:lang w:val="sq-AL" w:eastAsia="en-US" w:bidi="ar-SA"/>
      </w:rPr>
    </w:lvl>
    <w:lvl w:ilvl="4" w:tplc="2BACBCB0">
      <w:numFmt w:val="bullet"/>
      <w:lvlText w:val="•"/>
      <w:lvlJc w:val="left"/>
      <w:pPr>
        <w:ind w:left="4836" w:hanging="360"/>
      </w:pPr>
      <w:rPr>
        <w:lang w:val="sq-AL" w:eastAsia="en-US" w:bidi="ar-SA"/>
      </w:rPr>
    </w:lvl>
    <w:lvl w:ilvl="5" w:tplc="57D27CE0">
      <w:numFmt w:val="bullet"/>
      <w:lvlText w:val="•"/>
      <w:lvlJc w:val="left"/>
      <w:pPr>
        <w:ind w:left="5830" w:hanging="360"/>
      </w:pPr>
      <w:rPr>
        <w:lang w:val="sq-AL" w:eastAsia="en-US" w:bidi="ar-SA"/>
      </w:rPr>
    </w:lvl>
    <w:lvl w:ilvl="6" w:tplc="0B0ADF36">
      <w:numFmt w:val="bullet"/>
      <w:lvlText w:val="•"/>
      <w:lvlJc w:val="left"/>
      <w:pPr>
        <w:ind w:left="6824" w:hanging="360"/>
      </w:pPr>
      <w:rPr>
        <w:lang w:val="sq-AL" w:eastAsia="en-US" w:bidi="ar-SA"/>
      </w:rPr>
    </w:lvl>
    <w:lvl w:ilvl="7" w:tplc="C4101F0C">
      <w:numFmt w:val="bullet"/>
      <w:lvlText w:val="•"/>
      <w:lvlJc w:val="left"/>
      <w:pPr>
        <w:ind w:left="7818" w:hanging="360"/>
      </w:pPr>
      <w:rPr>
        <w:lang w:val="sq-AL" w:eastAsia="en-US" w:bidi="ar-SA"/>
      </w:rPr>
    </w:lvl>
    <w:lvl w:ilvl="8" w:tplc="9AD4406C">
      <w:numFmt w:val="bullet"/>
      <w:lvlText w:val="•"/>
      <w:lvlJc w:val="left"/>
      <w:pPr>
        <w:ind w:left="8812" w:hanging="360"/>
      </w:pPr>
      <w:rPr>
        <w:lang w:val="sq-AL" w:eastAsia="en-US" w:bidi="ar-SA"/>
      </w:rPr>
    </w:lvl>
  </w:abstractNum>
  <w:abstractNum w:abstractNumId="1" w15:restartNumberingAfterBreak="0">
    <w:nsid w:val="27482FD2"/>
    <w:multiLevelType w:val="hybridMultilevel"/>
    <w:tmpl w:val="84E83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14E28"/>
    <w:multiLevelType w:val="hybridMultilevel"/>
    <w:tmpl w:val="CB202512"/>
    <w:lvl w:ilvl="0" w:tplc="D88294B8">
      <w:start w:val="1"/>
      <w:numFmt w:val="decimal"/>
      <w:lvlText w:val="%1)"/>
      <w:lvlJc w:val="left"/>
      <w:pPr>
        <w:ind w:left="99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BB"/>
    <w:rsid w:val="000A2303"/>
    <w:rsid w:val="000F284C"/>
    <w:rsid w:val="0010017B"/>
    <w:rsid w:val="00104829"/>
    <w:rsid w:val="001269F1"/>
    <w:rsid w:val="0014790E"/>
    <w:rsid w:val="00150531"/>
    <w:rsid w:val="00153154"/>
    <w:rsid w:val="00174474"/>
    <w:rsid w:val="00186819"/>
    <w:rsid w:val="001A5ECA"/>
    <w:rsid w:val="001D706C"/>
    <w:rsid w:val="001E403F"/>
    <w:rsid w:val="001F5887"/>
    <w:rsid w:val="00200A15"/>
    <w:rsid w:val="00203339"/>
    <w:rsid w:val="00216B9D"/>
    <w:rsid w:val="0022182E"/>
    <w:rsid w:val="00226358"/>
    <w:rsid w:val="00232933"/>
    <w:rsid w:val="0023602D"/>
    <w:rsid w:val="00251FA1"/>
    <w:rsid w:val="00265986"/>
    <w:rsid w:val="00274CFF"/>
    <w:rsid w:val="00276B3A"/>
    <w:rsid w:val="002B667F"/>
    <w:rsid w:val="002C14DF"/>
    <w:rsid w:val="002F7737"/>
    <w:rsid w:val="003043C0"/>
    <w:rsid w:val="003116D9"/>
    <w:rsid w:val="003629CE"/>
    <w:rsid w:val="00370498"/>
    <w:rsid w:val="00375A52"/>
    <w:rsid w:val="003763DB"/>
    <w:rsid w:val="00387F6A"/>
    <w:rsid w:val="003E435B"/>
    <w:rsid w:val="003F6F61"/>
    <w:rsid w:val="00436E44"/>
    <w:rsid w:val="00444812"/>
    <w:rsid w:val="004511AD"/>
    <w:rsid w:val="004618C8"/>
    <w:rsid w:val="0049584D"/>
    <w:rsid w:val="004B6052"/>
    <w:rsid w:val="004C4585"/>
    <w:rsid w:val="004E3AC3"/>
    <w:rsid w:val="00516811"/>
    <w:rsid w:val="00521912"/>
    <w:rsid w:val="00547CB2"/>
    <w:rsid w:val="005A1BC6"/>
    <w:rsid w:val="005D7395"/>
    <w:rsid w:val="005D778A"/>
    <w:rsid w:val="00600CD3"/>
    <w:rsid w:val="0063451C"/>
    <w:rsid w:val="00637EBC"/>
    <w:rsid w:val="00676629"/>
    <w:rsid w:val="006A2F22"/>
    <w:rsid w:val="006B25B8"/>
    <w:rsid w:val="006C177E"/>
    <w:rsid w:val="006C6CCD"/>
    <w:rsid w:val="006D3C26"/>
    <w:rsid w:val="006E5C7E"/>
    <w:rsid w:val="00704235"/>
    <w:rsid w:val="007663B3"/>
    <w:rsid w:val="00786105"/>
    <w:rsid w:val="00795DC4"/>
    <w:rsid w:val="007A5A5C"/>
    <w:rsid w:val="00852A3B"/>
    <w:rsid w:val="00856A66"/>
    <w:rsid w:val="00856BB5"/>
    <w:rsid w:val="008B4B66"/>
    <w:rsid w:val="008E18BF"/>
    <w:rsid w:val="00901AAF"/>
    <w:rsid w:val="00913AAB"/>
    <w:rsid w:val="0098717E"/>
    <w:rsid w:val="009A6AE9"/>
    <w:rsid w:val="009B6DAF"/>
    <w:rsid w:val="009C0E42"/>
    <w:rsid w:val="009E4114"/>
    <w:rsid w:val="009E6DA8"/>
    <w:rsid w:val="00A2084F"/>
    <w:rsid w:val="00A36D40"/>
    <w:rsid w:val="00A90093"/>
    <w:rsid w:val="00A97BFC"/>
    <w:rsid w:val="00AB1576"/>
    <w:rsid w:val="00AE29F0"/>
    <w:rsid w:val="00AF11E8"/>
    <w:rsid w:val="00B42D19"/>
    <w:rsid w:val="00B67CBB"/>
    <w:rsid w:val="00B7531E"/>
    <w:rsid w:val="00B974B4"/>
    <w:rsid w:val="00BA019C"/>
    <w:rsid w:val="00BB1A03"/>
    <w:rsid w:val="00BC4B8E"/>
    <w:rsid w:val="00BD66BB"/>
    <w:rsid w:val="00C10458"/>
    <w:rsid w:val="00C16EBD"/>
    <w:rsid w:val="00C46DD9"/>
    <w:rsid w:val="00C63F0A"/>
    <w:rsid w:val="00C70989"/>
    <w:rsid w:val="00CA1F07"/>
    <w:rsid w:val="00CB229A"/>
    <w:rsid w:val="00CD4D20"/>
    <w:rsid w:val="00CE35C0"/>
    <w:rsid w:val="00CF663E"/>
    <w:rsid w:val="00D137E4"/>
    <w:rsid w:val="00D1460B"/>
    <w:rsid w:val="00D223DD"/>
    <w:rsid w:val="00D64407"/>
    <w:rsid w:val="00D85BE7"/>
    <w:rsid w:val="00D86156"/>
    <w:rsid w:val="00DA6F65"/>
    <w:rsid w:val="00DB4B78"/>
    <w:rsid w:val="00DB7E7A"/>
    <w:rsid w:val="00DC7DD5"/>
    <w:rsid w:val="00E02C85"/>
    <w:rsid w:val="00E07E6F"/>
    <w:rsid w:val="00E25E79"/>
    <w:rsid w:val="00E34E79"/>
    <w:rsid w:val="00E370ED"/>
    <w:rsid w:val="00E433FC"/>
    <w:rsid w:val="00E96F32"/>
    <w:rsid w:val="00E97242"/>
    <w:rsid w:val="00EA0583"/>
    <w:rsid w:val="00EC4826"/>
    <w:rsid w:val="00EF5641"/>
    <w:rsid w:val="00EF71E7"/>
    <w:rsid w:val="00F838AB"/>
    <w:rsid w:val="00FC78C4"/>
    <w:rsid w:val="00FD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67D0C"/>
  <w15:chartTrackingRefBased/>
  <w15:docId w15:val="{664A6102-CEBF-4BDA-883B-CC76C3AB2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3A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C7DD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sq-AL" w:eastAsia="x-none"/>
    </w:rPr>
  </w:style>
  <w:style w:type="paragraph" w:styleId="Heading6">
    <w:name w:val="heading 6"/>
    <w:basedOn w:val="Normal"/>
    <w:next w:val="Normal"/>
    <w:link w:val="Heading6Char"/>
    <w:qFormat/>
    <w:rsid w:val="00375A52"/>
    <w:pPr>
      <w:spacing w:before="240" w:after="60" w:line="240" w:lineRule="auto"/>
      <w:outlineLvl w:val="5"/>
    </w:pPr>
    <w:rPr>
      <w:rFonts w:ascii="Times New Roman" w:eastAsia="MS Mincho" w:hAnsi="Times New Roman" w:cs="Times New Roman"/>
      <w:b/>
      <w:bCs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E435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8BF"/>
  </w:style>
  <w:style w:type="paragraph" w:styleId="Footer">
    <w:name w:val="footer"/>
    <w:basedOn w:val="Normal"/>
    <w:link w:val="FooterChar"/>
    <w:uiPriority w:val="99"/>
    <w:unhideWhenUsed/>
    <w:rsid w:val="008E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8BF"/>
  </w:style>
  <w:style w:type="table" w:styleId="TableGrid">
    <w:name w:val="Table Grid"/>
    <w:basedOn w:val="TableNormal"/>
    <w:uiPriority w:val="39"/>
    <w:rsid w:val="00E97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semiHidden/>
    <w:rsid w:val="00DC7DD5"/>
    <w:rPr>
      <w:rFonts w:ascii="Calibri" w:eastAsia="Times New Roman" w:hAnsi="Calibri" w:cs="Times New Roman"/>
      <w:b/>
      <w:bCs/>
      <w:sz w:val="28"/>
      <w:szCs w:val="28"/>
      <w:lang w:val="sq-AL" w:eastAsia="x-none"/>
    </w:rPr>
  </w:style>
  <w:style w:type="character" w:customStyle="1" w:styleId="Heading6Char">
    <w:name w:val="Heading 6 Char"/>
    <w:basedOn w:val="DefaultParagraphFont"/>
    <w:link w:val="Heading6"/>
    <w:rsid w:val="00375A52"/>
    <w:rPr>
      <w:rFonts w:ascii="Times New Roman" w:eastAsia="MS Mincho" w:hAnsi="Times New Roman" w:cs="Times New Roman"/>
      <w:b/>
      <w:bCs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1E8"/>
    <w:rPr>
      <w:rFonts w:ascii="Segoe UI" w:hAnsi="Segoe UI" w:cs="Segoe UI"/>
      <w:sz w:val="18"/>
      <w:szCs w:val="18"/>
    </w:rPr>
  </w:style>
  <w:style w:type="table" w:styleId="GridTable1Light-Accent4">
    <w:name w:val="Grid Table 1 Light Accent 4"/>
    <w:basedOn w:val="TableNormal"/>
    <w:uiPriority w:val="46"/>
    <w:rsid w:val="00DB7E7A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BodyTextChar"/>
    <w:uiPriority w:val="1"/>
    <w:unhideWhenUsed/>
    <w:qFormat/>
    <w:rsid w:val="001048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104829"/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4E3A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4E3AC3"/>
    <w:pPr>
      <w:widowControl w:val="0"/>
      <w:autoSpaceDE w:val="0"/>
      <w:autoSpaceDN w:val="0"/>
      <w:spacing w:before="7" w:after="0" w:line="97" w:lineRule="exact"/>
      <w:ind w:left="17"/>
      <w:jc w:val="center"/>
    </w:pPr>
    <w:rPr>
      <w:rFonts w:ascii="Times New Roman" w:eastAsia="Times New Roman" w:hAnsi="Times New Roman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ell\Desktop\Raporti%20permbledhes\New%20Microsoft%20Excel%20Worksheet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ell\Desktop\Raporti%20permbledhes\New%20Microsoft%20Excel%20Worksheet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ell\Desktop\Raporti%20permbledhes\New%20Microsoft%20Excel%20Worksheet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ell\Desktop\Raporti%20permbledhes\New%20Microsoft%20Excel%20Worksheet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3147-4D7B-90BF-E0C67E50D35D}"/>
              </c:ext>
            </c:extLst>
          </c:dPt>
          <c:cat>
            <c:strRef>
              <c:f>Sheet1!$A$2:$A$3</c:f>
              <c:strCache>
                <c:ptCount val="2"/>
                <c:pt idx="0">
                  <c:v>Akte të realizuara gjatë vitit 2023</c:v>
                </c:pt>
                <c:pt idx="1">
                  <c:v>Akte të realizuara gjatë vitit 2024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1544</c:v>
                </c:pt>
                <c:pt idx="1">
                  <c:v>1367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147-4D7B-90BF-E0C67E50D3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98452559"/>
        <c:axId val="1898448719"/>
      </c:barChart>
      <c:catAx>
        <c:axId val="18984525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98448719"/>
        <c:crosses val="autoZero"/>
        <c:auto val="1"/>
        <c:lblAlgn val="ctr"/>
        <c:lblOffset val="100"/>
        <c:noMultiLvlLbl val="0"/>
      </c:catAx>
      <c:valAx>
        <c:axId val="1898448719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9845255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3580927384076992E-2"/>
          <c:y val="5.0925925925925923E-2"/>
          <c:w val="0.87753018372703417"/>
          <c:h val="0.841674686497521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10CC-4E6B-A634-C1D21B737AEF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0CC-4E6B-A634-C1D21B737AEF}"/>
              </c:ext>
            </c:extLst>
          </c:dPt>
          <c:cat>
            <c:strRef>
              <c:f>Sheet2!$A$3:$A$4</c:f>
              <c:strCache>
                <c:ptCount val="2"/>
                <c:pt idx="0">
                  <c:v>Kërkesa të pranuara</c:v>
                </c:pt>
                <c:pt idx="1">
                  <c:v>Akte të realizuara</c:v>
                </c:pt>
              </c:strCache>
            </c:strRef>
          </c:cat>
          <c:val>
            <c:numRef>
              <c:f>Sheet2!$B$3:$B$4</c:f>
              <c:numCache>
                <c:formatCode>General</c:formatCode>
                <c:ptCount val="2"/>
                <c:pt idx="0">
                  <c:v>999</c:v>
                </c:pt>
                <c:pt idx="1">
                  <c:v>1367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0CC-4E6B-A634-C1D21B737A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06784895"/>
        <c:axId val="2006786815"/>
      </c:barChart>
      <c:catAx>
        <c:axId val="20067848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6786815"/>
        <c:crosses val="autoZero"/>
        <c:auto val="1"/>
        <c:lblAlgn val="ctr"/>
        <c:lblOffset val="100"/>
        <c:noMultiLvlLbl val="0"/>
      </c:catAx>
      <c:valAx>
        <c:axId val="20067868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678489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C06E-4E28-A270-14635F1F9A9B}"/>
              </c:ext>
            </c:extLst>
          </c:dPt>
          <c:cat>
            <c:strRef>
              <c:f>Sheet3!$A$2:$A$3</c:f>
              <c:strCache>
                <c:ptCount val="2"/>
                <c:pt idx="0">
                  <c:v>Realizimi gjatë vitit 2023</c:v>
                </c:pt>
                <c:pt idx="1">
                  <c:v>Realizimi gjatë vitit 2024</c:v>
                </c:pt>
              </c:strCache>
            </c:strRef>
          </c:cat>
          <c:val>
            <c:numRef>
              <c:f>Sheet3!$B$2:$B$3</c:f>
              <c:numCache>
                <c:formatCode>General</c:formatCode>
                <c:ptCount val="2"/>
                <c:pt idx="0">
                  <c:v>1803540.71</c:v>
                </c:pt>
                <c:pt idx="1">
                  <c:v>1293857.49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6E-4E28-A270-14635F1F9A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05170975"/>
        <c:axId val="2005171935"/>
      </c:barChart>
      <c:catAx>
        <c:axId val="20051709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5171935"/>
        <c:crosses val="autoZero"/>
        <c:auto val="1"/>
        <c:lblAlgn val="ctr"/>
        <c:lblOffset val="100"/>
        <c:noMultiLvlLbl val="0"/>
      </c:catAx>
      <c:valAx>
        <c:axId val="20051719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51709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491892333933036"/>
          <c:y val="8.4848484848484854E-2"/>
          <c:w val="0.80304349011269738"/>
          <c:h val="0.844853734192316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B8A-4AFC-9E62-30D30F452F37}"/>
              </c:ext>
            </c:extLst>
          </c:dPt>
          <c:cat>
            <c:strRef>
              <c:f>Sheet4!$A$3:$A$4</c:f>
              <c:strCache>
                <c:ptCount val="2"/>
                <c:pt idx="0">
                  <c:v>Planifikimi për vitin 2024</c:v>
                </c:pt>
                <c:pt idx="1">
                  <c:v>Realizimi në vitin 2024</c:v>
                </c:pt>
              </c:strCache>
            </c:strRef>
          </c:cat>
          <c:val>
            <c:numRef>
              <c:f>Sheet4!$B$3:$B$4</c:f>
              <c:numCache>
                <c:formatCode>#,##0.00</c:formatCode>
                <c:ptCount val="2"/>
                <c:pt idx="0">
                  <c:v>860000</c:v>
                </c:pt>
                <c:pt idx="1">
                  <c:v>1293857.49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8A-4AFC-9E62-30D30F452F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15077567"/>
        <c:axId val="2015091487"/>
      </c:barChart>
      <c:catAx>
        <c:axId val="20150775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15091487"/>
        <c:crosses val="autoZero"/>
        <c:auto val="1"/>
        <c:lblAlgn val="ctr"/>
        <c:lblOffset val="100"/>
        <c:noMultiLvlLbl val="0"/>
      </c:catAx>
      <c:valAx>
        <c:axId val="2015091487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1507756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0.25</cdr:x>
      <cdr:y>0.06111</cdr:y>
    </cdr:from>
    <cdr:to>
      <cdr:x>0.40833</cdr:x>
      <cdr:y>0.14722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00146046-EC95-499B-FB05-64DD37D74E4B}"/>
            </a:ext>
          </a:extLst>
        </cdr:cNvPr>
        <cdr:cNvSpPr txBox="1"/>
      </cdr:nvSpPr>
      <cdr:spPr>
        <a:xfrm xmlns:a="http://schemas.openxmlformats.org/drawingml/2006/main">
          <a:off x="1143000" y="167640"/>
          <a:ext cx="723900" cy="2362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 kern="1200"/>
            <a:t>1544</a:t>
          </a:r>
        </a:p>
      </cdr:txBody>
    </cdr:sp>
  </cdr:relSizeAnchor>
  <cdr:relSizeAnchor xmlns:cdr="http://schemas.openxmlformats.org/drawingml/2006/chartDrawing">
    <cdr:from>
      <cdr:x>0.67064</cdr:x>
      <cdr:y>0.14899</cdr:y>
    </cdr:from>
    <cdr:to>
      <cdr:x>0.89056</cdr:x>
      <cdr:y>0.22727</cdr:y>
    </cdr:to>
    <cdr:sp macro="" textlink="">
      <cdr:nvSpPr>
        <cdr:cNvPr id="3" name="TextBox 1">
          <a:extLst xmlns:a="http://schemas.openxmlformats.org/drawingml/2006/main">
            <a:ext uri="{FF2B5EF4-FFF2-40B4-BE49-F238E27FC236}">
              <a16:creationId xmlns:a16="http://schemas.microsoft.com/office/drawing/2014/main" id="{1E4E28C4-F868-951D-1A5A-98CC1AE0443A}"/>
            </a:ext>
          </a:extLst>
        </cdr:cNvPr>
        <cdr:cNvSpPr txBox="1"/>
      </cdr:nvSpPr>
      <cdr:spPr>
        <a:xfrm xmlns:a="http://schemas.openxmlformats.org/drawingml/2006/main">
          <a:off x="3735623" y="549470"/>
          <a:ext cx="1224997" cy="2887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 kern="1200"/>
            <a:t>1367 (88.54%)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0.26167</cdr:x>
      <cdr:y>0.26111</cdr:y>
    </cdr:from>
    <cdr:to>
      <cdr:x>0.37444</cdr:x>
      <cdr:y>0.35776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CA7031FF-157C-E408-871E-818B8B9126EC}"/>
            </a:ext>
          </a:extLst>
        </cdr:cNvPr>
        <cdr:cNvSpPr txBox="1"/>
      </cdr:nvSpPr>
      <cdr:spPr>
        <a:xfrm xmlns:a="http://schemas.openxmlformats.org/drawingml/2006/main">
          <a:off x="1341912" y="923201"/>
          <a:ext cx="578328" cy="3417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 kern="1200"/>
            <a:t>999</a:t>
          </a:r>
        </a:p>
      </cdr:txBody>
    </cdr:sp>
  </cdr:relSizeAnchor>
  <cdr:relSizeAnchor xmlns:cdr="http://schemas.openxmlformats.org/drawingml/2006/chartDrawing">
    <cdr:from>
      <cdr:x>0.63611</cdr:x>
      <cdr:y>0.0463</cdr:y>
    </cdr:from>
    <cdr:to>
      <cdr:x>0.83611</cdr:x>
      <cdr:y>0.1444</cdr:y>
    </cdr:to>
    <cdr:sp macro="" textlink="">
      <cdr:nvSpPr>
        <cdr:cNvPr id="3" name="TextBox 1">
          <a:extLst xmlns:a="http://schemas.openxmlformats.org/drawingml/2006/main">
            <a:ext uri="{FF2B5EF4-FFF2-40B4-BE49-F238E27FC236}">
              <a16:creationId xmlns:a16="http://schemas.microsoft.com/office/drawing/2014/main" id="{F5166088-444B-916A-A81D-9F9A4B5B9151}"/>
            </a:ext>
          </a:extLst>
        </cdr:cNvPr>
        <cdr:cNvSpPr txBox="1"/>
      </cdr:nvSpPr>
      <cdr:spPr>
        <a:xfrm xmlns:a="http://schemas.openxmlformats.org/drawingml/2006/main">
          <a:off x="3262137" y="163702"/>
          <a:ext cx="1025652" cy="3468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 kern="1200"/>
            <a:t>1367 (136.84 %)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0.25333</cdr:x>
      <cdr:y>0.03889</cdr:y>
    </cdr:from>
    <cdr:to>
      <cdr:x>0.45333</cdr:x>
      <cdr:y>0.11294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337E5584-7950-A49E-2CDE-545C2284D177}"/>
            </a:ext>
          </a:extLst>
        </cdr:cNvPr>
        <cdr:cNvSpPr txBox="1"/>
      </cdr:nvSpPr>
      <cdr:spPr>
        <a:xfrm xmlns:a="http://schemas.openxmlformats.org/drawingml/2006/main">
          <a:off x="1254743" y="125945"/>
          <a:ext cx="990600" cy="23981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 kern="1200"/>
            <a:t>1,803,540.71</a:t>
          </a:r>
        </a:p>
      </cdr:txBody>
    </cdr:sp>
  </cdr:relSizeAnchor>
  <cdr:relSizeAnchor xmlns:cdr="http://schemas.openxmlformats.org/drawingml/2006/chartDrawing">
    <cdr:from>
      <cdr:x>0.64667</cdr:x>
      <cdr:y>0.21667</cdr:y>
    </cdr:from>
    <cdr:to>
      <cdr:x>0.97667</cdr:x>
      <cdr:y>0.30353</cdr:y>
    </cdr:to>
    <cdr:sp macro="" textlink="">
      <cdr:nvSpPr>
        <cdr:cNvPr id="3" name="TextBox 2">
          <a:extLst xmlns:a="http://schemas.openxmlformats.org/drawingml/2006/main">
            <a:ext uri="{FF2B5EF4-FFF2-40B4-BE49-F238E27FC236}">
              <a16:creationId xmlns:a16="http://schemas.microsoft.com/office/drawing/2014/main" id="{E5B05F97-8788-0185-70DF-64B5CCE8360B}"/>
            </a:ext>
          </a:extLst>
        </cdr:cNvPr>
        <cdr:cNvSpPr txBox="1"/>
      </cdr:nvSpPr>
      <cdr:spPr>
        <a:xfrm xmlns:a="http://schemas.openxmlformats.org/drawingml/2006/main">
          <a:off x="3202957" y="701687"/>
          <a:ext cx="1634490" cy="28129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 kern="1200"/>
            <a:t>1,293,857.49 (71.74%)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0.27071</cdr:x>
      <cdr:y>0.32495</cdr:y>
    </cdr:from>
    <cdr:to>
      <cdr:x>0.47071</cdr:x>
      <cdr:y>0.41636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9C5FB64B-C38E-2F99-C20C-64981391EC8B}"/>
            </a:ext>
          </a:extLst>
        </cdr:cNvPr>
        <cdr:cNvSpPr txBox="1"/>
      </cdr:nvSpPr>
      <cdr:spPr>
        <a:xfrm xmlns:a="http://schemas.openxmlformats.org/drawingml/2006/main">
          <a:off x="1390345" y="1361854"/>
          <a:ext cx="1027176" cy="3831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 kern="1200"/>
            <a:t>860,000.00</a:t>
          </a:r>
        </a:p>
      </cdr:txBody>
    </cdr:sp>
  </cdr:relSizeAnchor>
  <cdr:relSizeAnchor xmlns:cdr="http://schemas.openxmlformats.org/drawingml/2006/chartDrawing">
    <cdr:from>
      <cdr:x>0.61982</cdr:x>
      <cdr:y>0.08116</cdr:y>
    </cdr:from>
    <cdr:to>
      <cdr:x>0.94743</cdr:x>
      <cdr:y>0.13455</cdr:y>
    </cdr:to>
    <cdr:sp macro="" textlink="">
      <cdr:nvSpPr>
        <cdr:cNvPr id="3" name="TextBox 2">
          <a:extLst xmlns:a="http://schemas.openxmlformats.org/drawingml/2006/main">
            <a:ext uri="{FF2B5EF4-FFF2-40B4-BE49-F238E27FC236}">
              <a16:creationId xmlns:a16="http://schemas.microsoft.com/office/drawing/2014/main" id="{B158CC03-C55F-EB9C-85D5-537C39BAE693}"/>
            </a:ext>
          </a:extLst>
        </cdr:cNvPr>
        <cdr:cNvSpPr txBox="1"/>
      </cdr:nvSpPr>
      <cdr:spPr>
        <a:xfrm xmlns:a="http://schemas.openxmlformats.org/drawingml/2006/main">
          <a:off x="3183321" y="340142"/>
          <a:ext cx="1682566" cy="2237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 kern="1200"/>
            <a:t>1,293,857.49 (150.45%)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Naser Elezi</dc:creator>
  <cp:keywords/>
  <dc:description/>
  <cp:lastModifiedBy>Eljese Huruglica</cp:lastModifiedBy>
  <cp:revision>5</cp:revision>
  <cp:lastPrinted>2024-01-15T12:22:00Z</cp:lastPrinted>
  <dcterms:created xsi:type="dcterms:W3CDTF">2025-01-17T09:55:00Z</dcterms:created>
  <dcterms:modified xsi:type="dcterms:W3CDTF">2025-09-29T12:06:00Z</dcterms:modified>
</cp:coreProperties>
</file>